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3009C9" w:rsidP="00530E7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июл</w:t>
      </w:r>
      <w:r w:rsidR="007B134A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B1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2F21F4" w:rsidRPr="00EB4680" w:rsidRDefault="002F21F4" w:rsidP="00530E7C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Default="000A161F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81499E" w:rsidRDefault="003009C9" w:rsidP="008149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</w:t>
      </w:r>
      <w:r w:rsidR="0081499E" w:rsidRPr="0081499E">
        <w:rPr>
          <w:rFonts w:ascii="Times New Roman" w:hAnsi="Times New Roman" w:cs="Times New Roman"/>
          <w:color w:val="000000"/>
          <w:sz w:val="26"/>
          <w:szCs w:val="26"/>
        </w:rPr>
        <w:t>енеральный директор, председатель закупочной комиссии;</w:t>
      </w:r>
    </w:p>
    <w:p w:rsidR="006A1AC3" w:rsidRDefault="003009C9" w:rsidP="00530E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правления программы «Содейс</w:t>
      </w:r>
      <w:r w:rsidR="00530E7C"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комиссии;</w:t>
      </w:r>
    </w:p>
    <w:p w:rsidR="0081499E" w:rsidRPr="006A1AC3" w:rsidRDefault="003009C9" w:rsidP="008149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</w:t>
      </w:r>
      <w:r w:rsidR="0081499E" w:rsidRPr="0081499E">
        <w:rPr>
          <w:rFonts w:ascii="Times New Roman" w:hAnsi="Times New Roman" w:cs="Times New Roman"/>
          <w:color w:val="000000"/>
          <w:sz w:val="26"/>
          <w:szCs w:val="26"/>
        </w:rPr>
        <w:t>инансово-экономического управления</w:t>
      </w:r>
      <w:r w:rsidR="0081499E"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</w:t>
      </w:r>
      <w:r w:rsidR="0081499E" w:rsidRPr="008149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A1AC3" w:rsidRDefault="006A1AC3" w:rsidP="00530E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AC3">
        <w:rPr>
          <w:rFonts w:ascii="Times New Roman" w:hAnsi="Times New Roman" w:cs="Times New Roman"/>
          <w:color w:val="000000"/>
          <w:sz w:val="26"/>
          <w:szCs w:val="26"/>
        </w:rPr>
        <w:t>Григорьев</w:t>
      </w:r>
      <w:r w:rsidR="003009C9">
        <w:rPr>
          <w:rFonts w:ascii="Times New Roman" w:hAnsi="Times New Roman" w:cs="Times New Roman"/>
          <w:color w:val="000000"/>
          <w:sz w:val="26"/>
          <w:szCs w:val="26"/>
        </w:rPr>
        <w:t xml:space="preserve"> П.А. – заместитель начальника Ф</w:t>
      </w:r>
      <w:r w:rsidRPr="006A1AC3">
        <w:rPr>
          <w:rFonts w:ascii="Times New Roman" w:hAnsi="Times New Roman" w:cs="Times New Roman"/>
          <w:color w:val="000000"/>
          <w:sz w:val="26"/>
          <w:szCs w:val="26"/>
        </w:rPr>
        <w:t>инансово-экономического управ</w:t>
      </w:r>
      <w:r w:rsidR="00172E47"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комиссии;</w:t>
      </w:r>
    </w:p>
    <w:p w:rsidR="007B134A" w:rsidRDefault="003009C9" w:rsidP="007B13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епартамента коммунального комплекса </w:t>
      </w:r>
      <w:proofErr w:type="spellStart"/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>энергоэффективности</w:t>
      </w:r>
      <w:proofErr w:type="spellEnd"/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</w:t>
      </w:r>
      <w:r w:rsidR="00B6342E">
        <w:rPr>
          <w:rFonts w:ascii="Times New Roman" w:hAnsi="Times New Roman" w:cs="Times New Roman"/>
          <w:color w:val="000000"/>
          <w:sz w:val="26"/>
          <w:szCs w:val="26"/>
        </w:rPr>
        <w:t xml:space="preserve">, член закупочной </w:t>
      </w:r>
      <w:proofErr w:type="gramStart"/>
      <w:r w:rsidR="00B6342E">
        <w:rPr>
          <w:rFonts w:ascii="Times New Roman" w:hAnsi="Times New Roman" w:cs="Times New Roman"/>
          <w:color w:val="000000"/>
          <w:sz w:val="26"/>
          <w:szCs w:val="26"/>
        </w:rPr>
        <w:t xml:space="preserve">комиссии 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End"/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>по согласованию).</w:t>
      </w:r>
    </w:p>
    <w:p w:rsidR="007B134A" w:rsidRDefault="003009C9" w:rsidP="003009C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3009C9" w:rsidRDefault="003009C9" w:rsidP="003009C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9C9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009C9">
        <w:rPr>
          <w:rFonts w:ascii="Times New Roman" w:hAnsi="Times New Roman" w:cs="Times New Roman"/>
          <w:color w:val="000000"/>
          <w:sz w:val="26"/>
          <w:szCs w:val="26"/>
        </w:rPr>
        <w:tab/>
        <w:t>Оле</w:t>
      </w:r>
      <w:r>
        <w:rPr>
          <w:rFonts w:ascii="Times New Roman" w:hAnsi="Times New Roman" w:cs="Times New Roman"/>
          <w:color w:val="000000"/>
          <w:sz w:val="26"/>
          <w:szCs w:val="26"/>
        </w:rPr>
        <w:t>нева Н.И. – первый заместитель Г</w:t>
      </w:r>
      <w:r w:rsidRPr="003009C9">
        <w:rPr>
          <w:rFonts w:ascii="Times New Roman" w:hAnsi="Times New Roman" w:cs="Times New Roman"/>
          <w:color w:val="000000"/>
          <w:sz w:val="26"/>
          <w:szCs w:val="26"/>
        </w:rPr>
        <w:t>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комиссии.</w:t>
      </w:r>
    </w:p>
    <w:p w:rsidR="0051066A" w:rsidRDefault="000A161F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E93596" w:rsidRPr="00530E7C" w:rsidRDefault="00CE68CB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3009C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81499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225F9" w:rsidRDefault="009225F9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Повестка:</w:t>
      </w:r>
    </w:p>
    <w:p w:rsidR="003009C9" w:rsidRPr="003009C9" w:rsidRDefault="009225F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tab/>
      </w:r>
      <w:r w:rsidR="003009C9" w:rsidRPr="003009C9"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 по выбору Исполнителя на выполнение комплекса работ по Геологическому изучению (поиски, оценка) запасов подземных вод на участках недр «</w:t>
      </w:r>
      <w:proofErr w:type="spellStart"/>
      <w:r w:rsidR="003009C9" w:rsidRPr="003009C9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="003009C9"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="003009C9" w:rsidRPr="003009C9">
        <w:rPr>
          <w:rFonts w:ascii="Times New Roman" w:hAnsi="Times New Roman" w:cs="Times New Roman"/>
          <w:sz w:val="26"/>
          <w:szCs w:val="26"/>
        </w:rPr>
        <w:t>Балаганнахский</w:t>
      </w:r>
      <w:proofErr w:type="spellEnd"/>
      <w:r w:rsidR="003009C9" w:rsidRPr="003009C9">
        <w:rPr>
          <w:rFonts w:ascii="Times New Roman" w:hAnsi="Times New Roman" w:cs="Times New Roman"/>
          <w:sz w:val="26"/>
          <w:szCs w:val="26"/>
        </w:rPr>
        <w:t xml:space="preserve"> наслег» </w:t>
      </w:r>
      <w:proofErr w:type="spellStart"/>
      <w:r w:rsidR="003009C9" w:rsidRPr="003009C9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3009C9" w:rsidRPr="003009C9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и участок недр «</w:t>
      </w:r>
      <w:proofErr w:type="spellStart"/>
      <w:r w:rsidR="003009C9" w:rsidRPr="003009C9">
        <w:rPr>
          <w:rFonts w:ascii="Times New Roman" w:hAnsi="Times New Roman" w:cs="Times New Roman"/>
          <w:sz w:val="26"/>
          <w:szCs w:val="26"/>
        </w:rPr>
        <w:t>Тосу</w:t>
      </w:r>
      <w:proofErr w:type="spellEnd"/>
      <w:r w:rsidR="003009C9"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="003009C9" w:rsidRPr="003009C9">
        <w:rPr>
          <w:rFonts w:ascii="Times New Roman" w:hAnsi="Times New Roman" w:cs="Times New Roman"/>
          <w:sz w:val="26"/>
          <w:szCs w:val="26"/>
        </w:rPr>
        <w:t>Халбакинский</w:t>
      </w:r>
      <w:proofErr w:type="spellEnd"/>
      <w:r w:rsidR="003009C9" w:rsidRPr="003009C9">
        <w:rPr>
          <w:rFonts w:ascii="Times New Roman" w:hAnsi="Times New Roman" w:cs="Times New Roman"/>
          <w:sz w:val="26"/>
          <w:szCs w:val="26"/>
        </w:rPr>
        <w:t xml:space="preserve"> наслег» Вилюйского района Республики Саха (Якутия)» в рамках реализации программы «Развитие систем водоснабжения Вилюйской группы улусов, на 2019-2024 годы».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2. Допуск участников к участию в запросе предложений по выбору Исполнителя на выполнение комплекса работ по Геологическому изучению (поиски, оценка) запасов подземных вод на участках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и участок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Тосу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Халбакинский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Вилюйского района Республики Саха (Якутия)» в рамках реализации программы «Развитие систем водоснабжения Вилюйской группы улусов, на 2019-2024 годы».  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3. Оценка предложений участников запроса предложений по выбору Исполнителя на выполнение комплекса работ по Геологическому изучению (поиски, оценка) запасов подземных вод на участках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и участок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Тосу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Халбакинский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Вилюйского района Республики Саха (Якутия)» в рамках реализации программы «Развитие систем водоснабжения Вилюйской группы улусов, на 2019-2024 годы».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9C9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Процедура вскрытия конвертов участников запроса предложений по выбору Исполнителя на выполнение комплекса работ по Геологическому изучению (поиски, оценка) запасов подземных вод на участках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и участок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Тосу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Халбакинский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Вилюйского района Республики Саха (Якутия)» в рамках реализации программы «Развитие систем водоснабжения Вилюйской группы улусов, на 2019-2024 годы» проведена «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0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июля 2021 г. в 10</w:t>
      </w:r>
      <w:r w:rsidRPr="003009C9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. 518.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lastRenderedPageBreak/>
        <w:t>Извещение о проведении запроса предложений было размещено на официальном сайте Некоммерческой организации «Целевой фонд будущих поколений Республики Саха (Якутия)» http://www.f</w:t>
      </w:r>
      <w:proofErr w:type="spellStart"/>
      <w:r w:rsidRPr="003009C9">
        <w:rPr>
          <w:rFonts w:ascii="Times New Roman" w:hAnsi="Times New Roman" w:cs="Times New Roman"/>
          <w:sz w:val="26"/>
          <w:szCs w:val="26"/>
          <w:lang w:val="en-US"/>
        </w:rPr>
        <w:t>ond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yakutia.ru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009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3009C9">
        <w:rPr>
          <w:rFonts w:ascii="Times New Roman" w:hAnsi="Times New Roman" w:cs="Times New Roman"/>
          <w:sz w:val="26"/>
          <w:szCs w:val="26"/>
        </w:rPr>
        <w:t xml:space="preserve"> 2021 года.  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 xml:space="preserve">Вскрытие конверта с заявкой на участие в запросе предложений, поданной на бумажном носителе, проводилось Секретарем Закупочной комиссии. 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032"/>
        <w:gridCol w:w="2857"/>
        <w:gridCol w:w="2922"/>
        <w:gridCol w:w="2970"/>
      </w:tblGrid>
      <w:tr w:rsidR="003009C9" w:rsidRPr="003009C9" w:rsidTr="003009C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9" w:rsidRPr="003009C9" w:rsidRDefault="003009C9" w:rsidP="003009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9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9" w:rsidRPr="003009C9" w:rsidRDefault="003009C9" w:rsidP="003009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9C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9" w:rsidRPr="003009C9" w:rsidRDefault="003009C9" w:rsidP="003009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9C9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9" w:rsidRPr="003009C9" w:rsidRDefault="003009C9" w:rsidP="003009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9C9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3009C9" w:rsidRPr="003009C9" w:rsidTr="003009C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9" w:rsidRPr="003009C9" w:rsidRDefault="003009C9" w:rsidP="003009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9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9" w:rsidRPr="003009C9" w:rsidRDefault="003009C9" w:rsidP="003009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«Гидросфера»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9" w:rsidRPr="003009C9" w:rsidRDefault="003009C9" w:rsidP="003009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9C9"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Мерзлотная, 9/2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9" w:rsidRPr="003009C9" w:rsidRDefault="003009C9" w:rsidP="003009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</w:t>
            </w:r>
            <w:r w:rsidRPr="003009C9">
              <w:rPr>
                <w:rFonts w:ascii="Times New Roman" w:hAnsi="Times New Roman" w:cs="Times New Roman"/>
                <w:sz w:val="26"/>
                <w:szCs w:val="26"/>
              </w:rPr>
              <w:t>.2021 г.</w:t>
            </w:r>
          </w:p>
          <w:p w:rsidR="003009C9" w:rsidRPr="003009C9" w:rsidRDefault="003009C9" w:rsidP="003009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часов 30 минут</w:t>
            </w:r>
          </w:p>
        </w:tc>
      </w:tr>
    </w:tbl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При вскрытии конверта с заявкой на участие в запросе предложений по выбору Исполнителя на выполнение комплекса работ по Геологическому изучению (поиски, оценка) запасов подземных вод на участках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и участок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Тосу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Халбакинский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Вилюйского района Республики Саха (Якутия)» в рамках реализации программы «Развитие систем водоснабжения Вилюйской группы улусов, на 2019-2024 годы» были объявлены сведения и документы об участнике запроса предложений.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9C9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При допуске участника к участию в запросе по выбору Исполнителя на выполнение комплекса работ по Геологическому изучению (поиски, оценка) запасов подземных вод на участках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Балаганнахский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и участок недр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Тосу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>» на территории МО «</w:t>
      </w:r>
      <w:proofErr w:type="spellStart"/>
      <w:r w:rsidRPr="003009C9">
        <w:rPr>
          <w:rFonts w:ascii="Times New Roman" w:hAnsi="Times New Roman" w:cs="Times New Roman"/>
          <w:sz w:val="26"/>
          <w:szCs w:val="26"/>
        </w:rPr>
        <w:t>Халбакинский</w:t>
      </w:r>
      <w:proofErr w:type="spellEnd"/>
      <w:r w:rsidRPr="003009C9">
        <w:rPr>
          <w:rFonts w:ascii="Times New Roman" w:hAnsi="Times New Roman" w:cs="Times New Roman"/>
          <w:sz w:val="26"/>
          <w:szCs w:val="26"/>
        </w:rPr>
        <w:t xml:space="preserve"> наслег» Вилюйского района Республики Саха (Якутия)» в рамках реализации программы «Развитие систем водоснабжения Вилюйской группы улусов, на 2019-2024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09C9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соответствие участника требованиям закупочной документации и др.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lastRenderedPageBreak/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1.</w:t>
      </w:r>
      <w:r w:rsidRPr="003009C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>
        <w:rPr>
          <w:rFonts w:ascii="Times New Roman" w:hAnsi="Times New Roman" w:cs="Times New Roman"/>
          <w:sz w:val="26"/>
          <w:szCs w:val="26"/>
        </w:rPr>
        <w:t>ООО «Гидросфера».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2.</w:t>
      </w:r>
      <w:r w:rsidRPr="003009C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8260B0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3.</w:t>
      </w:r>
      <w:r w:rsidRPr="003009C9">
        <w:rPr>
          <w:rFonts w:ascii="Times New Roman" w:hAnsi="Times New Roman" w:cs="Times New Roman"/>
          <w:sz w:val="26"/>
          <w:szCs w:val="26"/>
        </w:rPr>
        <w:tab/>
      </w:r>
      <w:r w:rsidR="008260B0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Pr="003009C9">
        <w:rPr>
          <w:rFonts w:ascii="Times New Roman" w:hAnsi="Times New Roman" w:cs="Times New Roman"/>
          <w:sz w:val="26"/>
          <w:szCs w:val="26"/>
        </w:rPr>
        <w:t xml:space="preserve">Договор целевого финансирования (пожертвования) (с элементами договора </w:t>
      </w:r>
      <w:r w:rsidR="003F5FA5">
        <w:rPr>
          <w:rFonts w:ascii="Times New Roman" w:hAnsi="Times New Roman" w:cs="Times New Roman"/>
          <w:sz w:val="26"/>
          <w:szCs w:val="26"/>
        </w:rPr>
        <w:t>оказания услуг</w:t>
      </w:r>
      <w:r w:rsidRPr="003009C9">
        <w:rPr>
          <w:rFonts w:ascii="Times New Roman" w:hAnsi="Times New Roman" w:cs="Times New Roman"/>
          <w:sz w:val="26"/>
          <w:szCs w:val="26"/>
        </w:rPr>
        <w:t xml:space="preserve">) на условиях, предложенных </w:t>
      </w:r>
      <w:r w:rsidR="003F5FA5">
        <w:rPr>
          <w:rFonts w:ascii="Times New Roman" w:hAnsi="Times New Roman" w:cs="Times New Roman"/>
          <w:sz w:val="26"/>
          <w:szCs w:val="26"/>
        </w:rPr>
        <w:t>ООО «Гидросфера»</w:t>
      </w:r>
      <w:r w:rsidR="008260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009C9">
        <w:rPr>
          <w:rFonts w:ascii="Times New Roman" w:hAnsi="Times New Roman" w:cs="Times New Roman"/>
          <w:sz w:val="26"/>
          <w:szCs w:val="26"/>
        </w:rPr>
        <w:t>4.</w:t>
      </w:r>
      <w:r w:rsidRPr="003009C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9C9" w:rsidRPr="003009C9" w:rsidRDefault="003009C9" w:rsidP="00300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C9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3009C9" w:rsidRDefault="003009C9" w:rsidP="003009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538" w:rsidRPr="009225F9" w:rsidRDefault="0081499E" w:rsidP="005B1EC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Егоров В.А.__________________</w:t>
      </w:r>
    </w:p>
    <w:p w:rsidR="0081499E" w:rsidRDefault="005B1EC9" w:rsidP="005B1EC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</w:t>
      </w:r>
    </w:p>
    <w:p w:rsidR="00B70F82" w:rsidRDefault="00B70F82" w:rsidP="005B1EC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</w:t>
      </w:r>
      <w:r w:rsidR="005B1EC9">
        <w:rPr>
          <w:rFonts w:ascii="Times New Roman" w:eastAsia="Times New Roman" w:hAnsi="Times New Roman" w:cs="Times New Roman"/>
          <w:color w:val="000000"/>
          <w:sz w:val="26"/>
          <w:szCs w:val="26"/>
        </w:rPr>
        <w:t>горьев П.А. _______________</w:t>
      </w:r>
    </w:p>
    <w:p w:rsidR="005B1EC9" w:rsidRDefault="005B1EC9" w:rsidP="005B1EC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И.Р._________________</w:t>
      </w:r>
    </w:p>
    <w:p w:rsidR="009225F9" w:rsidRDefault="005B1EC9" w:rsidP="005B1EC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В.К.______________________</w:t>
      </w:r>
    </w:p>
    <w:p w:rsidR="006E1538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E1538" w:rsidRPr="006C1FD3" w:rsidRDefault="006E1538" w:rsidP="00530E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Высоцкая В.В.</w:t>
      </w:r>
    </w:p>
    <w:p w:rsidR="00F97A37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FB" w:rsidRDefault="00645AFB" w:rsidP="00A46BF6">
      <w:pPr>
        <w:spacing w:after="0" w:line="240" w:lineRule="auto"/>
      </w:pPr>
      <w:r>
        <w:separator/>
      </w:r>
    </w:p>
  </w:endnote>
  <w:endnote w:type="continuationSeparator" w:id="0">
    <w:p w:rsidR="00645AFB" w:rsidRDefault="00645AFB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B0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FB" w:rsidRDefault="00645AFB" w:rsidP="00A46BF6">
      <w:pPr>
        <w:spacing w:after="0" w:line="240" w:lineRule="auto"/>
      </w:pPr>
      <w:r>
        <w:separator/>
      </w:r>
    </w:p>
  </w:footnote>
  <w:footnote w:type="continuationSeparator" w:id="0">
    <w:p w:rsidR="00645AFB" w:rsidRDefault="00645AFB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4556D"/>
    <w:rsid w:val="0006383D"/>
    <w:rsid w:val="00076F30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5EE6"/>
    <w:rsid w:val="001066C5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D2D0D"/>
    <w:rsid w:val="001E2FD5"/>
    <w:rsid w:val="001E734E"/>
    <w:rsid w:val="001E7694"/>
    <w:rsid w:val="001F4592"/>
    <w:rsid w:val="001F5974"/>
    <w:rsid w:val="0020213D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9C9"/>
    <w:rsid w:val="00300DBF"/>
    <w:rsid w:val="003016BF"/>
    <w:rsid w:val="00304AD2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5FA5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5844"/>
    <w:rsid w:val="004F2F5B"/>
    <w:rsid w:val="005028CC"/>
    <w:rsid w:val="005071FB"/>
    <w:rsid w:val="0051066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1EC9"/>
    <w:rsid w:val="005B5371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5AFB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499E"/>
    <w:rsid w:val="00815177"/>
    <w:rsid w:val="008260B0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3839"/>
    <w:rsid w:val="008D4BA4"/>
    <w:rsid w:val="008E1B6E"/>
    <w:rsid w:val="008E7E1D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342E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695"/>
    <w:rsid w:val="00CA2100"/>
    <w:rsid w:val="00CB520A"/>
    <w:rsid w:val="00CC2320"/>
    <w:rsid w:val="00CE68CB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24DB9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13C9-06E3-498C-979B-7E914D23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16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Александр Р. Барышев</cp:lastModifiedBy>
  <cp:revision>5</cp:revision>
  <cp:lastPrinted>2018-03-15T06:03:00Z</cp:lastPrinted>
  <dcterms:created xsi:type="dcterms:W3CDTF">2021-07-12T00:46:00Z</dcterms:created>
  <dcterms:modified xsi:type="dcterms:W3CDTF">2021-07-12T01:36:00Z</dcterms:modified>
</cp:coreProperties>
</file>