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557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A54" w:rsidRDefault="00EE0A54" w:rsidP="00557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654" w:rsidRPr="0040181A" w:rsidRDefault="0006383D" w:rsidP="003455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40181A" w:rsidRDefault="0006383D" w:rsidP="0034555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  <w:r w:rsidR="00591654" w:rsidRPr="0040181A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40181A" w:rsidRDefault="00557DFA" w:rsidP="00BE762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BE0" w:rsidRPr="008C6BE0" w:rsidRDefault="0032693D" w:rsidP="00143F6C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«13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августа</w:t>
      </w:r>
      <w:r w:rsidR="00290F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2019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 </w:t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8C6BE0"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</w:t>
      </w:r>
      <w:r w:rsid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№ 65</w:t>
      </w:r>
      <w:r w:rsidR="00290F57">
        <w:rPr>
          <w:rFonts w:ascii="Times New Roman" w:hAnsi="Times New Roman" w:cs="Times New Roman"/>
          <w:bCs/>
          <w:color w:val="000000"/>
          <w:sz w:val="26"/>
          <w:szCs w:val="26"/>
        </w:rPr>
        <w:t>-19</w:t>
      </w:r>
    </w:p>
    <w:p w:rsidR="008C6BE0" w:rsidRPr="008C6BE0" w:rsidRDefault="008C6BE0" w:rsidP="00143F6C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5533B" w:rsidRDefault="008C6BE0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>Присутствуют:</w:t>
      </w:r>
    </w:p>
    <w:p w:rsidR="00BD5B36" w:rsidRPr="00143F6C" w:rsidRDefault="00BD5B36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>1. Керемясов М.Н. – заместитель генерального директора</w:t>
      </w:r>
      <w:r w:rsidR="00EE0A54"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>, председатель закупочной комиссии;</w:t>
      </w:r>
    </w:p>
    <w:p w:rsidR="00285637" w:rsidRPr="00143F6C" w:rsidRDefault="00EE0A54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>2.</w:t>
      </w:r>
      <w:r w:rsidR="00BD5B36"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Оленева Н.И. – первый заместитель генерального директора, заместитель председателя </w:t>
      </w:r>
      <w:r w:rsidR="00285637"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>закупочной комиссии;</w:t>
      </w:r>
    </w:p>
    <w:p w:rsidR="005E79A2" w:rsidRPr="00143F6C" w:rsidRDefault="00285637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5E79A2"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BD5B36"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Чан В.К. – руководитель департамента коммунального </w:t>
      </w:r>
      <w:r w:rsidR="00BD5B36" w:rsidRPr="00143F6C">
        <w:rPr>
          <w:rFonts w:ascii="Times New Roman" w:hAnsi="Times New Roman" w:cs="Times New Roman"/>
          <w:color w:val="000000"/>
          <w:sz w:val="26"/>
          <w:szCs w:val="26"/>
        </w:rPr>
        <w:t xml:space="preserve">комплекса энергоэффективности и административной работы Министерства жилищно-коммунального хозяйства и энергетики Республики Саха (Якутия), </w:t>
      </w:r>
      <w:r w:rsidR="005E79A2"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>член закупочной комиссии;</w:t>
      </w:r>
    </w:p>
    <w:p w:rsidR="00285637" w:rsidRPr="00143F6C" w:rsidRDefault="00EE0A54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285637"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>. Сергеева Ю.Ю. – начальник- главный бухгалтер финансово-экономического управления, член закупочной комиссии;</w:t>
      </w:r>
    </w:p>
    <w:p w:rsidR="00EE0A54" w:rsidRPr="00143F6C" w:rsidRDefault="0032693D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>5</w:t>
      </w:r>
      <w:r w:rsidR="00EE0A54"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BD5B36"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Григорьев П.А. – заместитель начальника управления целевых программ</w:t>
      </w:r>
      <w:r w:rsidR="00143F6C" w:rsidRPr="00143F6C">
        <w:rPr>
          <w:rFonts w:ascii="Times New Roman" w:hAnsi="Times New Roman" w:cs="Times New Roman"/>
          <w:bCs/>
          <w:color w:val="000000"/>
          <w:sz w:val="26"/>
          <w:szCs w:val="26"/>
        </w:rPr>
        <w:t>, член закупочной комиссии.</w:t>
      </w:r>
      <w:r w:rsidR="00143F6C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EE0A54" w:rsidRDefault="0032693D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Отсутствуют:</w:t>
      </w:r>
    </w:p>
    <w:p w:rsidR="00285637" w:rsidRPr="008C6BE0" w:rsidRDefault="0032693D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Pr="0032693D">
        <w:rPr>
          <w:rFonts w:ascii="Times New Roman" w:hAnsi="Times New Roman" w:cs="Times New Roman"/>
          <w:bCs/>
          <w:color w:val="000000"/>
          <w:sz w:val="26"/>
          <w:szCs w:val="26"/>
        </w:rPr>
        <w:t>. Барышев А.Р. – начальник юридического 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тдела, член закупочной комиссии.</w:t>
      </w:r>
    </w:p>
    <w:p w:rsidR="008C6BE0" w:rsidRPr="008C6BE0" w:rsidRDefault="008C6BE0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Секретарь закупочной комиссии – </w:t>
      </w:r>
      <w:r w:rsidR="0032693D">
        <w:rPr>
          <w:rFonts w:ascii="Times New Roman" w:hAnsi="Times New Roman" w:cs="Times New Roman"/>
          <w:bCs/>
          <w:color w:val="000000"/>
          <w:sz w:val="26"/>
          <w:szCs w:val="26"/>
        </w:rPr>
        <w:t>Высоцкая В.В.</w:t>
      </w: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 </w:t>
      </w:r>
      <w:r w:rsidR="0032693D">
        <w:rPr>
          <w:rFonts w:ascii="Times New Roman" w:hAnsi="Times New Roman" w:cs="Times New Roman"/>
          <w:bCs/>
          <w:color w:val="000000"/>
          <w:sz w:val="26"/>
          <w:szCs w:val="26"/>
        </w:rPr>
        <w:t>главный</w:t>
      </w: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специалист юридического отдела.</w:t>
      </w:r>
    </w:p>
    <w:p w:rsidR="0032693D" w:rsidRPr="0032693D" w:rsidRDefault="008C6BE0" w:rsidP="00143F6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>На заседании за</w:t>
      </w:r>
      <w:r w:rsidR="00BD5B3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купочной комиссии присутствует </w:t>
      </w:r>
      <w:r w:rsidR="0032693D">
        <w:rPr>
          <w:rFonts w:ascii="Times New Roman" w:hAnsi="Times New Roman" w:cs="Times New Roman"/>
          <w:bCs/>
          <w:color w:val="000000"/>
          <w:sz w:val="26"/>
          <w:szCs w:val="26"/>
        </w:rPr>
        <w:t>5 членов</w:t>
      </w:r>
      <w:r w:rsidR="00BD5B3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закупочной комиссии</w:t>
      </w:r>
      <w:r w:rsidR="003269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из 6</w:t>
      </w:r>
      <w:r w:rsidRPr="008C6BE0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32693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2693D" w:rsidRPr="0032693D">
        <w:rPr>
          <w:rFonts w:ascii="Times New Roman" w:hAnsi="Times New Roman" w:cs="Times New Roman"/>
          <w:bCs/>
          <w:color w:val="000000"/>
          <w:sz w:val="26"/>
          <w:szCs w:val="26"/>
        </w:rPr>
        <w:t>В соответствии с п. 4.3 Положения о закупках товаров, работ и услуг Некоммерческой организации «Целевой фонд будущих поколений Республики Саха (Якутия)»,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</w:t>
      </w:r>
      <w:r w:rsidR="0032693D" w:rsidRPr="0032693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32693D" w:rsidRDefault="0032693D" w:rsidP="003269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693D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2B4274" w:rsidRPr="0032693D" w:rsidRDefault="0032693D" w:rsidP="003269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269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Повестка:</w:t>
      </w:r>
      <w:r w:rsidRPr="0032693D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9F6D3A" w:rsidRPr="0032693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</w:p>
    <w:p w:rsidR="0032693D" w:rsidRDefault="0032693D" w:rsidP="0032693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 подведении итогов запроса предложений </w:t>
      </w:r>
      <w:r w:rsidRPr="00530E86">
        <w:rPr>
          <w:rFonts w:ascii="Times New Roman" w:hAnsi="Times New Roman" w:cs="Times New Roman"/>
          <w:sz w:val="26"/>
          <w:szCs w:val="26"/>
        </w:rPr>
        <w:t xml:space="preserve">по </w:t>
      </w:r>
      <w:r w:rsidRPr="00F243B5">
        <w:rPr>
          <w:rFonts w:ascii="Times New Roman" w:hAnsi="Times New Roman" w:cs="Times New Roman"/>
          <w:sz w:val="26"/>
          <w:szCs w:val="26"/>
        </w:rPr>
        <w:t xml:space="preserve">выбору </w:t>
      </w:r>
      <w:r w:rsidRPr="00BD5B36">
        <w:rPr>
          <w:rFonts w:ascii="Times New Roman" w:hAnsi="Times New Roman" w:cs="Times New Roman"/>
          <w:sz w:val="26"/>
          <w:szCs w:val="26"/>
        </w:rPr>
        <w:t>Агента (Технического заказчика) на выполнение комплекса работ по Геологическому изучению (поиски, оценка) запасов подземных вод на участках недр «Кутана», «Эльгяй», «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Кюндяе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>», «Шея», «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Туойдах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Кюкей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 xml:space="preserve">» на территории 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 в рамках реализации программы «Развитие» систем водоснабжения Вилюйской группы улусов на 2019-2024 годы»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2693D" w:rsidRDefault="0032693D" w:rsidP="0032693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17">
        <w:rPr>
          <w:rFonts w:ascii="Times New Roman" w:hAnsi="Times New Roman" w:cs="Times New Roman"/>
          <w:sz w:val="26"/>
          <w:szCs w:val="26"/>
        </w:rPr>
        <w:lastRenderedPageBreak/>
        <w:t xml:space="preserve">2. Допуск участников к участию в запросе предложений </w:t>
      </w:r>
      <w:r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32693D">
        <w:rPr>
          <w:rFonts w:ascii="Times New Roman" w:hAnsi="Times New Roman" w:cs="Times New Roman"/>
          <w:sz w:val="26"/>
          <w:szCs w:val="26"/>
        </w:rPr>
        <w:t>Агента (Технического заказчика) на выполнение комплекса работ по Геологическому изучению (поиски, оценка) запасов подземных вод на участках недр «Кутана», «Эльгяй», «</w:t>
      </w:r>
      <w:proofErr w:type="spellStart"/>
      <w:r w:rsidRPr="0032693D">
        <w:rPr>
          <w:rFonts w:ascii="Times New Roman" w:hAnsi="Times New Roman" w:cs="Times New Roman"/>
          <w:sz w:val="26"/>
          <w:szCs w:val="26"/>
        </w:rPr>
        <w:t>Кюндяе</w:t>
      </w:r>
      <w:proofErr w:type="spellEnd"/>
      <w:r w:rsidRPr="0032693D">
        <w:rPr>
          <w:rFonts w:ascii="Times New Roman" w:hAnsi="Times New Roman" w:cs="Times New Roman"/>
          <w:sz w:val="26"/>
          <w:szCs w:val="26"/>
        </w:rPr>
        <w:t>», «Шея», «</w:t>
      </w:r>
      <w:proofErr w:type="spellStart"/>
      <w:r w:rsidRPr="0032693D">
        <w:rPr>
          <w:rFonts w:ascii="Times New Roman" w:hAnsi="Times New Roman" w:cs="Times New Roman"/>
          <w:sz w:val="26"/>
          <w:szCs w:val="26"/>
        </w:rPr>
        <w:t>Туойдах</w:t>
      </w:r>
      <w:proofErr w:type="spellEnd"/>
      <w:r w:rsidRPr="0032693D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32693D">
        <w:rPr>
          <w:rFonts w:ascii="Times New Roman" w:hAnsi="Times New Roman" w:cs="Times New Roman"/>
          <w:sz w:val="26"/>
          <w:szCs w:val="26"/>
        </w:rPr>
        <w:t>Кюкей</w:t>
      </w:r>
      <w:proofErr w:type="spellEnd"/>
      <w:r w:rsidRPr="0032693D">
        <w:rPr>
          <w:rFonts w:ascii="Times New Roman" w:hAnsi="Times New Roman" w:cs="Times New Roman"/>
          <w:sz w:val="26"/>
          <w:szCs w:val="26"/>
        </w:rPr>
        <w:t xml:space="preserve">» на территории </w:t>
      </w:r>
      <w:proofErr w:type="spellStart"/>
      <w:r w:rsidRPr="0032693D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Pr="0032693D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 в рамках реализации программы «Развитие» систем водоснабжения Вилюйской группы улусов на 2019-2024 годы». </w:t>
      </w:r>
      <w:r w:rsidRPr="0032693D">
        <w:rPr>
          <w:rFonts w:ascii="Times New Roman" w:hAnsi="Times New Roman" w:cs="Times New Roman"/>
          <w:sz w:val="26"/>
          <w:szCs w:val="26"/>
        </w:rPr>
        <w:tab/>
      </w:r>
    </w:p>
    <w:p w:rsidR="0032693D" w:rsidRDefault="0032693D" w:rsidP="0032693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F0C9F">
        <w:rPr>
          <w:rFonts w:ascii="Times New Roman" w:hAnsi="Times New Roman" w:cs="Times New Roman"/>
          <w:sz w:val="26"/>
          <w:szCs w:val="26"/>
        </w:rPr>
        <w:t xml:space="preserve">Оценка предложений участников запроса предложений </w:t>
      </w:r>
      <w:r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BD5B36">
        <w:rPr>
          <w:rFonts w:ascii="Times New Roman" w:hAnsi="Times New Roman" w:cs="Times New Roman"/>
          <w:sz w:val="26"/>
          <w:szCs w:val="26"/>
        </w:rPr>
        <w:t>Агента (Технического заказчика) на выполнение комплекса работ по Геологическому изучению (поиски, оценка) запасов подземных вод на участках недр «Кутана», «Эльгяй», «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Кюндяе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>», «Шея», «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Туойдах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Кюкей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 xml:space="preserve">» на территории 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 в рамках реализации программы «Развитие» систем водоснабжения Вилюйской группы улусов на 2019-2024 годы»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2693D" w:rsidRPr="0040181A" w:rsidRDefault="0032693D" w:rsidP="0032693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32693D" w:rsidRPr="0040181A" w:rsidRDefault="0032693D" w:rsidP="0032693D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Pr="00B23F7E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BD5B36">
        <w:rPr>
          <w:rFonts w:ascii="Times New Roman" w:hAnsi="Times New Roman" w:cs="Times New Roman"/>
          <w:sz w:val="26"/>
          <w:szCs w:val="26"/>
        </w:rPr>
        <w:t>Агента (Технического заказчика) на выполнение комплекса работ по Геологическому изучению (поиски, оценка) запасов подземных вод на участках недр «Кутана», «Эльгяй», «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Кюндяе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>», «Шея», «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Туойдах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Кюкей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 xml:space="preserve">» на территории 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 в рамках реализации программы «Развитие» систем водоснабжения Вилюйской группы улусов на 2019-2024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181A">
        <w:rPr>
          <w:rFonts w:ascii="Times New Roman" w:hAnsi="Times New Roman" w:cs="Times New Roman"/>
          <w:sz w:val="26"/>
          <w:szCs w:val="26"/>
        </w:rPr>
        <w:t>проведена «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2019 г. в 10</w:t>
      </w:r>
      <w:r w:rsidRPr="0040181A">
        <w:rPr>
          <w:rFonts w:ascii="Times New Roman" w:hAnsi="Times New Roman" w:cs="Times New Roman"/>
          <w:sz w:val="26"/>
          <w:szCs w:val="26"/>
        </w:rPr>
        <w:t xml:space="preserve">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32693D" w:rsidRPr="0040181A" w:rsidRDefault="0032693D" w:rsidP="0032693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июля 2019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32693D" w:rsidRPr="0040181A" w:rsidRDefault="0032693D" w:rsidP="003269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</w:t>
      </w:r>
      <w:r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>ный в извещении срок поступили 2</w:t>
      </w:r>
      <w:r w:rsidRPr="0040181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две</w:t>
      </w:r>
      <w:r>
        <w:rPr>
          <w:rFonts w:ascii="Times New Roman" w:hAnsi="Times New Roman" w:cs="Times New Roman"/>
          <w:sz w:val="26"/>
          <w:szCs w:val="26"/>
        </w:rPr>
        <w:t>) заявки</w:t>
      </w:r>
      <w:r w:rsidRPr="0040181A">
        <w:rPr>
          <w:rFonts w:ascii="Times New Roman" w:hAnsi="Times New Roman" w:cs="Times New Roman"/>
          <w:sz w:val="26"/>
          <w:szCs w:val="26"/>
        </w:rPr>
        <w:t>.</w:t>
      </w:r>
    </w:p>
    <w:p w:rsidR="0032693D" w:rsidRPr="0040181A" w:rsidRDefault="0032693D" w:rsidP="003269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конвертов с заявками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поданными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93D" w:rsidRPr="0040181A" w:rsidRDefault="0032693D" w:rsidP="0032693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поступили</w:t>
      </w:r>
      <w:r w:rsidRPr="0040181A">
        <w:rPr>
          <w:rFonts w:ascii="Times New Roman" w:hAnsi="Times New Roman" w:cs="Times New Roman"/>
          <w:sz w:val="26"/>
          <w:szCs w:val="26"/>
        </w:rPr>
        <w:t xml:space="preserve"> от </w:t>
      </w:r>
      <w:r w:rsidR="00E915F2">
        <w:rPr>
          <w:rFonts w:ascii="Times New Roman" w:hAnsi="Times New Roman" w:cs="Times New Roman"/>
          <w:sz w:val="26"/>
          <w:szCs w:val="26"/>
        </w:rPr>
        <w:t>двух</w:t>
      </w:r>
      <w:r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предложений:</w:t>
      </w:r>
    </w:p>
    <w:p w:rsidR="0032693D" w:rsidRPr="00020F17" w:rsidRDefault="0032693D" w:rsidP="0032693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32693D" w:rsidRPr="0040181A" w:rsidTr="007E0D86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3D" w:rsidRPr="0040181A" w:rsidRDefault="0032693D" w:rsidP="007E0D86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3D" w:rsidRPr="0040181A" w:rsidRDefault="0032693D" w:rsidP="007E0D86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3D" w:rsidRPr="0040181A" w:rsidRDefault="0032693D" w:rsidP="007E0D86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3D" w:rsidRPr="0040181A" w:rsidRDefault="0032693D" w:rsidP="007E0D86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32693D" w:rsidRPr="0040181A" w:rsidTr="007E0D86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3D" w:rsidRPr="0040181A" w:rsidRDefault="0032693D" w:rsidP="007E0D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3D" w:rsidRPr="0040181A" w:rsidRDefault="0032693D" w:rsidP="003269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Сахастройизыскания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3D" w:rsidRPr="00475755" w:rsidRDefault="0032693D" w:rsidP="00F17C39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РС (Я), г. Якутск, </w:t>
            </w:r>
            <w:proofErr w:type="spellStart"/>
            <w:r w:rsidR="00F17C39">
              <w:rPr>
                <w:rFonts w:ascii="Times New Roman" w:hAnsi="Times New Roman" w:cs="Times New Roman"/>
                <w:sz w:val="24"/>
                <w:szCs w:val="24"/>
              </w:rPr>
              <w:t>Сергеляхское</w:t>
            </w:r>
            <w:proofErr w:type="spellEnd"/>
            <w:r w:rsidR="00F17C39">
              <w:rPr>
                <w:rFonts w:ascii="Times New Roman" w:hAnsi="Times New Roman" w:cs="Times New Roman"/>
                <w:sz w:val="24"/>
                <w:szCs w:val="24"/>
              </w:rPr>
              <w:t xml:space="preserve"> шоссе, 7 </w:t>
            </w:r>
            <w:proofErr w:type="gramStart"/>
            <w:r w:rsidR="00F17C39">
              <w:rPr>
                <w:rFonts w:ascii="Times New Roman" w:hAnsi="Times New Roman" w:cs="Times New Roman"/>
                <w:sz w:val="24"/>
                <w:szCs w:val="24"/>
              </w:rPr>
              <w:t>км.,</w:t>
            </w:r>
            <w:proofErr w:type="gramEnd"/>
            <w:r w:rsidR="00F17C39">
              <w:rPr>
                <w:rFonts w:ascii="Times New Roman" w:hAnsi="Times New Roman" w:cs="Times New Roman"/>
                <w:sz w:val="24"/>
                <w:szCs w:val="24"/>
              </w:rPr>
              <w:t xml:space="preserve"> д. 29/1</w:t>
            </w: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3D" w:rsidRPr="0040181A" w:rsidRDefault="0032693D" w:rsidP="007E0D8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32693D" w:rsidRPr="0040181A" w:rsidRDefault="0032693D" w:rsidP="007E0D8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часов 50</w:t>
            </w:r>
            <w:r w:rsidRPr="0040181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2693D" w:rsidRPr="0040181A" w:rsidTr="007E0D86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3D" w:rsidRPr="0040181A" w:rsidRDefault="0032693D" w:rsidP="007E0D8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93D" w:rsidRDefault="0032693D" w:rsidP="007E0D8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«Гидросфера»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3D" w:rsidRPr="00475755" w:rsidRDefault="0032693D" w:rsidP="0032693D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44CB">
              <w:rPr>
                <w:rFonts w:ascii="Times New Roman" w:hAnsi="Times New Roman" w:cs="Times New Roman"/>
                <w:sz w:val="24"/>
                <w:szCs w:val="24"/>
              </w:rPr>
              <w:t xml:space="preserve">РФ, РС (Я), г. Якутск, ул. </w:t>
            </w:r>
            <w:r w:rsidR="00F17C39">
              <w:rPr>
                <w:rFonts w:ascii="Times New Roman" w:hAnsi="Times New Roman" w:cs="Times New Roman"/>
                <w:sz w:val="24"/>
                <w:szCs w:val="24"/>
              </w:rPr>
              <w:t>Мерзлотная, д. 31, кв. 52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3D" w:rsidRDefault="0032693D" w:rsidP="007E0D8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32693D" w:rsidRDefault="0032693D" w:rsidP="007E0D86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32693D" w:rsidRPr="00071062" w:rsidRDefault="0032693D" w:rsidP="00326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93D" w:rsidRPr="0040181A" w:rsidRDefault="0032693D" w:rsidP="0032693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конвертов с заявками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BD5B36">
        <w:rPr>
          <w:rFonts w:ascii="Times New Roman" w:hAnsi="Times New Roman" w:cs="Times New Roman"/>
          <w:sz w:val="26"/>
          <w:szCs w:val="26"/>
        </w:rPr>
        <w:t>Агента (Технического заказчика) на выполнение комплекса работ по Геологическому изучению (поиски, оценка) запасов подземных вод на участках недр «Кутана», «Эльгяй», «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Кюндяе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>», «Шея», «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Туойдах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Кюкей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 xml:space="preserve">» на территории 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 в рамках реализации программы «Развитие» систем водоснабжения </w:t>
      </w:r>
      <w:r w:rsidRPr="00BD5B36">
        <w:rPr>
          <w:rFonts w:ascii="Times New Roman" w:hAnsi="Times New Roman" w:cs="Times New Roman"/>
          <w:sz w:val="26"/>
          <w:szCs w:val="26"/>
        </w:rPr>
        <w:lastRenderedPageBreak/>
        <w:t>Вилюйской группы улусов на 2019-2024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40181A">
        <w:rPr>
          <w:rFonts w:ascii="Times New Roman" w:hAnsi="Times New Roman" w:cs="Times New Roman"/>
          <w:sz w:val="26"/>
          <w:szCs w:val="26"/>
        </w:rPr>
        <w:t>ыли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32693D" w:rsidRPr="00725CD1" w:rsidRDefault="0032693D" w:rsidP="0032693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5C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32693D" w:rsidRPr="00725CD1" w:rsidRDefault="0032693D" w:rsidP="00326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CD1">
        <w:rPr>
          <w:rFonts w:ascii="Times New Roman" w:hAnsi="Times New Roman" w:cs="Times New Roman"/>
          <w:sz w:val="26"/>
          <w:szCs w:val="26"/>
        </w:rPr>
        <w:t xml:space="preserve">При допуске участников к участию в запросе предложений </w:t>
      </w:r>
      <w:r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BD5B36">
        <w:rPr>
          <w:rFonts w:ascii="Times New Roman" w:hAnsi="Times New Roman" w:cs="Times New Roman"/>
          <w:sz w:val="26"/>
          <w:szCs w:val="26"/>
        </w:rPr>
        <w:t>Агента (Технического заказчика) на выполнение комплекса работ по Геологическому изучению (поиски, оценка) запасов подземных вод на участках недр «Кутана», «Эльгяй», «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Кюндяе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>», «Шея», «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Туойдах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Кюкей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 xml:space="preserve">» на территории </w:t>
      </w:r>
      <w:proofErr w:type="spellStart"/>
      <w:r w:rsidRPr="00BD5B36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Pr="00BD5B36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 в рамках реализации программы «Развитие» систем водоснабжения Вилюйской группы улусов на 2019-2024 годы»</w:t>
      </w:r>
      <w:r w:rsidRPr="00685A77">
        <w:rPr>
          <w:rFonts w:ascii="Times New Roman" w:hAnsi="Times New Roman" w:cs="Times New Roman"/>
          <w:sz w:val="26"/>
          <w:szCs w:val="26"/>
        </w:rPr>
        <w:t xml:space="preserve">  </w:t>
      </w:r>
      <w:r w:rsidRPr="00725CD1">
        <w:rPr>
          <w:rFonts w:ascii="Times New Roman" w:hAnsi="Times New Roman" w:cs="Times New Roman"/>
          <w:sz w:val="26"/>
          <w:szCs w:val="26"/>
        </w:rPr>
        <w:t xml:space="preserve">в отношении каждой заявки была объявлена следующая информация: сведения и документы об участнике, документы </w:t>
      </w:r>
      <w:bookmarkStart w:id="0" w:name="_GoBack"/>
      <w:r w:rsidRPr="00725CD1">
        <w:rPr>
          <w:rFonts w:ascii="Times New Roman" w:hAnsi="Times New Roman" w:cs="Times New Roman"/>
          <w:sz w:val="26"/>
          <w:szCs w:val="26"/>
        </w:rPr>
        <w:t xml:space="preserve">подтверждающие соответствие участника требованиям к закупочной документации, </w:t>
      </w:r>
      <w:bookmarkEnd w:id="0"/>
      <w:r w:rsidRPr="00725CD1">
        <w:rPr>
          <w:rFonts w:ascii="Times New Roman" w:hAnsi="Times New Roman" w:cs="Times New Roman"/>
          <w:sz w:val="26"/>
          <w:szCs w:val="26"/>
        </w:rPr>
        <w:t>предложения участника в отношении объекта закупки и др.</w:t>
      </w:r>
    </w:p>
    <w:p w:rsidR="0032693D" w:rsidRDefault="0032693D" w:rsidP="003269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1039D">
        <w:rPr>
          <w:rFonts w:ascii="Times New Roman" w:hAnsi="Times New Roman" w:cs="Times New Roman"/>
          <w:sz w:val="26"/>
          <w:szCs w:val="26"/>
        </w:rPr>
        <w:t xml:space="preserve"> </w:t>
      </w:r>
      <w:r w:rsidRPr="00B075ED">
        <w:rPr>
          <w:rFonts w:ascii="Times New Roman" w:hAnsi="Times New Roman" w:cs="Times New Roman"/>
          <w:sz w:val="26"/>
          <w:szCs w:val="26"/>
        </w:rPr>
        <w:t>Закупочной комиссией установлено:</w:t>
      </w:r>
    </w:p>
    <w:p w:rsidR="0032693D" w:rsidRPr="00B075ED" w:rsidRDefault="0032693D" w:rsidP="003269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>Заявки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Сахастройизыскания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ООО «</w:t>
      </w:r>
      <w:r>
        <w:rPr>
          <w:rFonts w:ascii="Times New Roman" w:hAnsi="Times New Roman" w:cs="Times New Roman"/>
          <w:sz w:val="26"/>
          <w:szCs w:val="26"/>
        </w:rPr>
        <w:t>Гидросфера»</w:t>
      </w:r>
      <w:r>
        <w:rPr>
          <w:rFonts w:ascii="Times New Roman" w:hAnsi="Times New Roman" w:cs="Times New Roman"/>
          <w:sz w:val="26"/>
          <w:szCs w:val="26"/>
        </w:rPr>
        <w:t xml:space="preserve"> соответствуют условиям Закупочной документации.</w:t>
      </w:r>
    </w:p>
    <w:p w:rsidR="0032693D" w:rsidRDefault="0032693D" w:rsidP="0032693D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2693D" w:rsidRPr="00143F6C" w:rsidRDefault="0032693D" w:rsidP="00143F6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CFD">
        <w:rPr>
          <w:rFonts w:ascii="Times New Roman" w:hAnsi="Times New Roman" w:cs="Times New Roman"/>
          <w:b/>
          <w:sz w:val="26"/>
          <w:szCs w:val="26"/>
        </w:rPr>
        <w:t xml:space="preserve">По вопросу №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631CFD">
        <w:rPr>
          <w:rFonts w:ascii="Times New Roman" w:hAnsi="Times New Roman" w:cs="Times New Roman"/>
          <w:b/>
          <w:sz w:val="26"/>
          <w:szCs w:val="26"/>
        </w:rPr>
        <w:t xml:space="preserve"> повестки дня заседания Закупочной комиссии:</w:t>
      </w:r>
    </w:p>
    <w:p w:rsidR="0032693D" w:rsidRDefault="0032693D" w:rsidP="0032693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Оценка заявок на участие в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апросе предложений проведена «13</w:t>
      </w:r>
      <w:r w:rsidRPr="00EB46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2019</w:t>
      </w:r>
      <w:r w:rsidRPr="00EB4680">
        <w:rPr>
          <w:rFonts w:ascii="Times New Roman" w:hAnsi="Times New Roman" w:cs="Times New Roman"/>
          <w:sz w:val="26"/>
          <w:szCs w:val="26"/>
        </w:rPr>
        <w:t xml:space="preserve"> г. по адресу: г. Як</w:t>
      </w:r>
      <w:r>
        <w:rPr>
          <w:rFonts w:ascii="Times New Roman" w:hAnsi="Times New Roman" w:cs="Times New Roman"/>
          <w:sz w:val="26"/>
          <w:szCs w:val="26"/>
        </w:rPr>
        <w:t xml:space="preserve">утск,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518</w:t>
      </w:r>
      <w:r w:rsidRPr="00EB46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2693D" w:rsidRDefault="0032693D" w:rsidP="00143F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запроса предложений представили следующие предложения исполнения договора:</w:t>
      </w:r>
    </w:p>
    <w:p w:rsidR="00143F6C" w:rsidRDefault="00143F6C" w:rsidP="00143F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запроса предложений представили следующие предложения исполнения договора:</w:t>
      </w:r>
    </w:p>
    <w:tbl>
      <w:tblPr>
        <w:tblStyle w:val="ab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857"/>
        <w:gridCol w:w="2533"/>
        <w:gridCol w:w="1693"/>
        <w:gridCol w:w="2551"/>
      </w:tblGrid>
      <w:tr w:rsidR="00143F6C" w:rsidTr="0030076F">
        <w:trPr>
          <w:jc w:val="center"/>
        </w:trPr>
        <w:tc>
          <w:tcPr>
            <w:tcW w:w="2857" w:type="dxa"/>
            <w:vMerge w:val="restart"/>
            <w:vAlign w:val="center"/>
          </w:tcPr>
          <w:p w:rsidR="00143F6C" w:rsidRPr="00E70467" w:rsidRDefault="00143F6C" w:rsidP="007E0D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467">
              <w:rPr>
                <w:rFonts w:ascii="Times New Roman" w:hAnsi="Times New Roman" w:cs="Times New Roman"/>
                <w:b/>
                <w:sz w:val="20"/>
                <w:szCs w:val="20"/>
              </w:rPr>
              <w:t>Существенные условия исполнения договора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соответствии с условиями Закупочной документации</w:t>
            </w:r>
          </w:p>
        </w:tc>
        <w:tc>
          <w:tcPr>
            <w:tcW w:w="2533" w:type="dxa"/>
          </w:tcPr>
          <w:p w:rsidR="00143F6C" w:rsidRPr="003B4D3B" w:rsidRDefault="00143F6C" w:rsidP="007E0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1693" w:type="dxa"/>
          </w:tcPr>
          <w:p w:rsidR="00143F6C" w:rsidRPr="003B4D3B" w:rsidRDefault="00143F6C" w:rsidP="007E0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2551" w:type="dxa"/>
          </w:tcPr>
          <w:p w:rsidR="00143F6C" w:rsidRPr="00143F6C" w:rsidRDefault="00143F6C" w:rsidP="00143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F6C">
              <w:rPr>
                <w:rFonts w:ascii="Times New Roman" w:hAnsi="Times New Roman" w:cs="Times New Roman"/>
                <w:b/>
                <w:sz w:val="20"/>
                <w:szCs w:val="20"/>
              </w:rPr>
              <w:t>Агентское вознаграждение</w:t>
            </w:r>
          </w:p>
          <w:p w:rsidR="00143F6C" w:rsidRPr="003B4D3B" w:rsidRDefault="00143F6C" w:rsidP="00143F6C">
            <w:pPr>
              <w:tabs>
                <w:tab w:val="left" w:pos="5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F6C" w:rsidTr="0030076F">
        <w:trPr>
          <w:jc w:val="center"/>
        </w:trPr>
        <w:tc>
          <w:tcPr>
            <w:tcW w:w="2857" w:type="dxa"/>
            <w:vMerge/>
          </w:tcPr>
          <w:p w:rsidR="00143F6C" w:rsidRPr="00774C21" w:rsidRDefault="00143F6C" w:rsidP="007E0D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3" w:type="dxa"/>
          </w:tcPr>
          <w:p w:rsidR="00143F6C" w:rsidRPr="00A31792" w:rsidRDefault="00143F6C" w:rsidP="007E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F6C">
              <w:rPr>
                <w:rFonts w:ascii="Times New Roman" w:hAnsi="Times New Roman" w:cs="Times New Roman"/>
                <w:sz w:val="20"/>
                <w:szCs w:val="20"/>
              </w:rPr>
              <w:t>Выбор Агента (Технического заказчика) на выполнение комплекса работ по Геологическому изучению (поиски, оценка) запасов подземных вод на участках недр «Кутана», «Эльгяй», «</w:t>
            </w:r>
            <w:proofErr w:type="spellStart"/>
            <w:r w:rsidRPr="00143F6C">
              <w:rPr>
                <w:rFonts w:ascii="Times New Roman" w:hAnsi="Times New Roman" w:cs="Times New Roman"/>
                <w:sz w:val="20"/>
                <w:szCs w:val="20"/>
              </w:rPr>
              <w:t>Кюндяе</w:t>
            </w:r>
            <w:proofErr w:type="spellEnd"/>
            <w:r w:rsidRPr="00143F6C">
              <w:rPr>
                <w:rFonts w:ascii="Times New Roman" w:hAnsi="Times New Roman" w:cs="Times New Roman"/>
                <w:sz w:val="20"/>
                <w:szCs w:val="20"/>
              </w:rPr>
              <w:t>», «Шея», «</w:t>
            </w:r>
            <w:proofErr w:type="spellStart"/>
            <w:r w:rsidRPr="00143F6C">
              <w:rPr>
                <w:rFonts w:ascii="Times New Roman" w:hAnsi="Times New Roman" w:cs="Times New Roman"/>
                <w:sz w:val="20"/>
                <w:szCs w:val="20"/>
              </w:rPr>
              <w:t>Туойдах</w:t>
            </w:r>
            <w:proofErr w:type="spellEnd"/>
            <w:r w:rsidRPr="00143F6C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143F6C">
              <w:rPr>
                <w:rFonts w:ascii="Times New Roman" w:hAnsi="Times New Roman" w:cs="Times New Roman"/>
                <w:sz w:val="20"/>
                <w:szCs w:val="20"/>
              </w:rPr>
              <w:t>Кюкей</w:t>
            </w:r>
            <w:proofErr w:type="spellEnd"/>
            <w:r w:rsidRPr="00143F6C">
              <w:rPr>
                <w:rFonts w:ascii="Times New Roman" w:hAnsi="Times New Roman" w:cs="Times New Roman"/>
                <w:sz w:val="20"/>
                <w:szCs w:val="20"/>
              </w:rPr>
              <w:t xml:space="preserve">» на территории </w:t>
            </w:r>
            <w:proofErr w:type="spellStart"/>
            <w:r w:rsidRPr="00143F6C">
              <w:rPr>
                <w:rFonts w:ascii="Times New Roman" w:hAnsi="Times New Roman" w:cs="Times New Roman"/>
                <w:sz w:val="20"/>
                <w:szCs w:val="20"/>
              </w:rPr>
              <w:t>Сунтарского</w:t>
            </w:r>
            <w:proofErr w:type="spellEnd"/>
            <w:r w:rsidRPr="00143F6C">
              <w:rPr>
                <w:rFonts w:ascii="Times New Roman" w:hAnsi="Times New Roman" w:cs="Times New Roman"/>
                <w:sz w:val="20"/>
                <w:szCs w:val="20"/>
              </w:rPr>
              <w:t xml:space="preserve"> района Республики Саха (Якутия)</w:t>
            </w:r>
          </w:p>
        </w:tc>
        <w:tc>
          <w:tcPr>
            <w:tcW w:w="1693" w:type="dxa"/>
          </w:tcPr>
          <w:p w:rsidR="00143F6C" w:rsidRPr="00473408" w:rsidRDefault="00143F6C" w:rsidP="00143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00 000 рублей</w:t>
            </w:r>
          </w:p>
        </w:tc>
        <w:tc>
          <w:tcPr>
            <w:tcW w:w="2551" w:type="dxa"/>
          </w:tcPr>
          <w:p w:rsidR="00143F6C" w:rsidRPr="00143F6C" w:rsidRDefault="00143F6C" w:rsidP="00143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F6C">
              <w:rPr>
                <w:rFonts w:ascii="Times New Roman" w:hAnsi="Times New Roman" w:cs="Times New Roman"/>
                <w:sz w:val="20"/>
                <w:szCs w:val="20"/>
              </w:rPr>
              <w:t>Минимальный размер АВ - 100 000 рублей (присваивается 20 баллов);</w:t>
            </w:r>
          </w:p>
          <w:p w:rsidR="00143F6C" w:rsidRDefault="00143F6C" w:rsidP="00143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F6C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АВ - 500 000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(присваивается 0 баллов)</w:t>
            </w:r>
          </w:p>
        </w:tc>
      </w:tr>
      <w:tr w:rsidR="00143F6C" w:rsidTr="0030076F">
        <w:trPr>
          <w:jc w:val="center"/>
        </w:trPr>
        <w:tc>
          <w:tcPr>
            <w:tcW w:w="2857" w:type="dxa"/>
          </w:tcPr>
          <w:p w:rsidR="00143F6C" w:rsidRPr="005B5371" w:rsidRDefault="00143F6C" w:rsidP="00143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Сахастройизыскания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33" w:type="dxa"/>
          </w:tcPr>
          <w:p w:rsidR="00143F6C" w:rsidRPr="00774C21" w:rsidRDefault="00143F6C" w:rsidP="007E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693" w:type="dxa"/>
          </w:tcPr>
          <w:p w:rsidR="00143F6C" w:rsidRPr="00774C21" w:rsidRDefault="00143F6C" w:rsidP="007E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045E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551" w:type="dxa"/>
          </w:tcPr>
          <w:p w:rsidR="00143F6C" w:rsidRDefault="00143F6C" w:rsidP="007E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 рублей</w:t>
            </w:r>
          </w:p>
        </w:tc>
      </w:tr>
      <w:tr w:rsidR="00143F6C" w:rsidTr="0030076F">
        <w:trPr>
          <w:jc w:val="center"/>
        </w:trPr>
        <w:tc>
          <w:tcPr>
            <w:tcW w:w="2857" w:type="dxa"/>
            <w:vAlign w:val="center"/>
          </w:tcPr>
          <w:p w:rsidR="00143F6C" w:rsidRPr="00774C21" w:rsidRDefault="00143F6C" w:rsidP="00143F6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«Гидросфера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33" w:type="dxa"/>
          </w:tcPr>
          <w:p w:rsidR="00143F6C" w:rsidRPr="00774C21" w:rsidRDefault="00143F6C" w:rsidP="007E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693" w:type="dxa"/>
          </w:tcPr>
          <w:p w:rsidR="00143F6C" w:rsidRPr="00774C21" w:rsidRDefault="00143F6C" w:rsidP="007E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2045E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551" w:type="dxa"/>
          </w:tcPr>
          <w:p w:rsidR="00143F6C" w:rsidRDefault="00143F6C" w:rsidP="007E0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 рублей</w:t>
            </w:r>
          </w:p>
        </w:tc>
      </w:tr>
    </w:tbl>
    <w:p w:rsidR="00143F6C" w:rsidRDefault="00143F6C" w:rsidP="00143F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3F6C" w:rsidRPr="00F42FE9" w:rsidRDefault="00143F6C" w:rsidP="00143F6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  </w:t>
      </w:r>
    </w:p>
    <w:p w:rsidR="0030076F" w:rsidRPr="00F17C39" w:rsidRDefault="00143F6C" w:rsidP="00F17C3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2FE9">
        <w:rPr>
          <w:rFonts w:ascii="Times New Roman" w:hAnsi="Times New Roman" w:cs="Times New Roman"/>
          <w:sz w:val="26"/>
          <w:szCs w:val="26"/>
        </w:rPr>
        <w:lastRenderedPageBreak/>
        <w:t xml:space="preserve">Члены </w:t>
      </w:r>
      <w:r>
        <w:rPr>
          <w:rFonts w:ascii="Times New Roman" w:hAnsi="Times New Roman" w:cs="Times New Roman"/>
          <w:sz w:val="26"/>
          <w:szCs w:val="26"/>
        </w:rPr>
        <w:t xml:space="preserve">Закупочной </w:t>
      </w:r>
      <w:r w:rsidRPr="00F42FE9">
        <w:rPr>
          <w:rFonts w:ascii="Times New Roman" w:hAnsi="Times New Roman" w:cs="Times New Roman"/>
          <w:sz w:val="26"/>
          <w:szCs w:val="26"/>
        </w:rPr>
        <w:t>комиссии подтвердили следующие результаты оценки заявок по критериям:</w:t>
      </w:r>
    </w:p>
    <w:p w:rsidR="00143F6C" w:rsidRPr="00747534" w:rsidRDefault="00143F6C" w:rsidP="00143F6C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 рейтинга заявок (в баллах):</w:t>
      </w:r>
    </w:p>
    <w:tbl>
      <w:tblPr>
        <w:tblpPr w:leftFromText="180" w:rightFromText="180" w:vertAnchor="text" w:horzAnchor="margin" w:tblpX="-147" w:tblpY="106"/>
        <w:tblW w:w="5133" w:type="pct"/>
        <w:tblLayout w:type="fixed"/>
        <w:tblLook w:val="04A0" w:firstRow="1" w:lastRow="0" w:firstColumn="1" w:lastColumn="0" w:noHBand="0" w:noVBand="1"/>
      </w:tblPr>
      <w:tblGrid>
        <w:gridCol w:w="2540"/>
        <w:gridCol w:w="1411"/>
        <w:gridCol w:w="1734"/>
        <w:gridCol w:w="2560"/>
        <w:gridCol w:w="1921"/>
      </w:tblGrid>
      <w:tr w:rsidR="00143F6C" w:rsidRPr="00D81450" w:rsidTr="0030076F">
        <w:trPr>
          <w:trHeight w:val="33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6C" w:rsidRPr="00D81450" w:rsidRDefault="00143F6C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закупки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</w:t>
            </w:r>
          </w:p>
          <w:p w:rsidR="00143F6C" w:rsidRPr="00D81450" w:rsidRDefault="00143F6C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заявок</w:t>
            </w:r>
            <w:proofErr w:type="gram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6C" w:rsidRPr="00D81450" w:rsidRDefault="00143F6C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1. Цена договора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6C" w:rsidRDefault="00143F6C" w:rsidP="007E0D8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Размер агентского вознаграждения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6C" w:rsidRPr="00D81450" w:rsidRDefault="00143F6C" w:rsidP="007E0D8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Опыт работы</w:t>
            </w:r>
          </w:p>
          <w:p w:rsidR="00143F6C" w:rsidRPr="00D81450" w:rsidRDefault="00143F6C" w:rsidP="007E0D86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3F6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  <w:proofErr w:type="gramEnd"/>
            <w:r w:rsidRPr="00143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исполненных контрактов на выполнение работ, аналогичных предмету закупки в Республике Саха (Якутия)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6C" w:rsidRPr="00B9284B" w:rsidRDefault="00143F6C" w:rsidP="007E0D86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8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143F6C" w:rsidRPr="00D81450" w:rsidTr="0030076F">
        <w:trPr>
          <w:trHeight w:val="315"/>
        </w:trPr>
        <w:tc>
          <w:tcPr>
            <w:tcW w:w="12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F6C" w:rsidRPr="00D81450" w:rsidRDefault="00143F6C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значение оценки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6C" w:rsidRPr="00DC3C57" w:rsidRDefault="00143F6C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6C" w:rsidRDefault="00143F6C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6C" w:rsidRPr="00DC3C57" w:rsidRDefault="00143F6C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C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F6C" w:rsidRPr="00B9284B" w:rsidRDefault="00143F6C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143F6C" w:rsidRPr="00D81450" w:rsidTr="0030076F">
        <w:trPr>
          <w:trHeight w:val="315"/>
        </w:trPr>
        <w:tc>
          <w:tcPr>
            <w:tcW w:w="12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6C" w:rsidRPr="006A037E" w:rsidRDefault="00143F6C" w:rsidP="0014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Сахастройизыскания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6C" w:rsidRPr="00DC3C57" w:rsidRDefault="00143F6C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6C" w:rsidRDefault="00143F6C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6C" w:rsidRPr="00DC3C57" w:rsidRDefault="00143F6C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договоров – 0 баллов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F6C" w:rsidRPr="00B9284B" w:rsidRDefault="00143F6C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43F6C" w:rsidRPr="00D81450" w:rsidTr="0030076F">
        <w:trPr>
          <w:trHeight w:val="527"/>
        </w:trPr>
        <w:tc>
          <w:tcPr>
            <w:tcW w:w="12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F6C" w:rsidRPr="006A037E" w:rsidRDefault="00143F6C" w:rsidP="0014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Гидросфера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6C" w:rsidRPr="00DC3C57" w:rsidRDefault="00143F6C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6C" w:rsidRDefault="00143F6C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6C" w:rsidRPr="00DC3C57" w:rsidRDefault="00143F6C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договоров –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3F6C" w:rsidRPr="00B9284B" w:rsidRDefault="00143F6C" w:rsidP="007E0D8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</w:t>
            </w:r>
          </w:p>
        </w:tc>
      </w:tr>
    </w:tbl>
    <w:p w:rsidR="0032693D" w:rsidRDefault="0032693D" w:rsidP="00143F6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693D" w:rsidRDefault="0032693D" w:rsidP="003269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00E2F">
        <w:rPr>
          <w:rFonts w:ascii="Times New Roman" w:hAnsi="Times New Roman" w:cs="Times New Roman"/>
          <w:sz w:val="26"/>
          <w:szCs w:val="26"/>
        </w:rPr>
        <w:t>Рассмотрев поступившие заявки, оценив их и обменявшись мнениями Закупочная комиссия решила:</w:t>
      </w:r>
    </w:p>
    <w:p w:rsidR="0032693D" w:rsidRDefault="0032693D" w:rsidP="00143F6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41F69">
        <w:rPr>
          <w:rFonts w:ascii="Times New Roman" w:hAnsi="Times New Roman" w:cs="Times New Roman"/>
          <w:sz w:val="26"/>
          <w:szCs w:val="26"/>
        </w:rPr>
        <w:t xml:space="preserve">Утвердить итоги запроса предложений </w:t>
      </w:r>
      <w:r w:rsidRPr="00F243B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43F6C" w:rsidRPr="00143F6C">
        <w:rPr>
          <w:rFonts w:ascii="Times New Roman" w:hAnsi="Times New Roman" w:cs="Times New Roman"/>
          <w:sz w:val="26"/>
          <w:szCs w:val="26"/>
        </w:rPr>
        <w:t>Агента (Технического заказчика) на выполнение комплекса работ по Геологическому изучению (поиски, оценка) запасов подземных вод на участках недр «Кутана», «Эльгяй», «</w:t>
      </w:r>
      <w:proofErr w:type="spellStart"/>
      <w:r w:rsidR="00143F6C" w:rsidRPr="00143F6C">
        <w:rPr>
          <w:rFonts w:ascii="Times New Roman" w:hAnsi="Times New Roman" w:cs="Times New Roman"/>
          <w:sz w:val="26"/>
          <w:szCs w:val="26"/>
        </w:rPr>
        <w:t>Кюндяе</w:t>
      </w:r>
      <w:proofErr w:type="spellEnd"/>
      <w:r w:rsidR="00143F6C" w:rsidRPr="00143F6C">
        <w:rPr>
          <w:rFonts w:ascii="Times New Roman" w:hAnsi="Times New Roman" w:cs="Times New Roman"/>
          <w:sz w:val="26"/>
          <w:szCs w:val="26"/>
        </w:rPr>
        <w:t>», «Шея», «</w:t>
      </w:r>
      <w:proofErr w:type="spellStart"/>
      <w:r w:rsidR="00143F6C" w:rsidRPr="00143F6C">
        <w:rPr>
          <w:rFonts w:ascii="Times New Roman" w:hAnsi="Times New Roman" w:cs="Times New Roman"/>
          <w:sz w:val="26"/>
          <w:szCs w:val="26"/>
        </w:rPr>
        <w:t>Туойдах</w:t>
      </w:r>
      <w:proofErr w:type="spellEnd"/>
      <w:r w:rsidR="00143F6C" w:rsidRPr="00143F6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143F6C" w:rsidRPr="00143F6C">
        <w:rPr>
          <w:rFonts w:ascii="Times New Roman" w:hAnsi="Times New Roman" w:cs="Times New Roman"/>
          <w:sz w:val="26"/>
          <w:szCs w:val="26"/>
        </w:rPr>
        <w:t>Кюкей</w:t>
      </w:r>
      <w:proofErr w:type="spellEnd"/>
      <w:r w:rsidR="00143F6C" w:rsidRPr="00143F6C">
        <w:rPr>
          <w:rFonts w:ascii="Times New Roman" w:hAnsi="Times New Roman" w:cs="Times New Roman"/>
          <w:sz w:val="26"/>
          <w:szCs w:val="26"/>
        </w:rPr>
        <w:t xml:space="preserve">» на территории </w:t>
      </w:r>
      <w:proofErr w:type="spellStart"/>
      <w:r w:rsidR="00143F6C" w:rsidRPr="00143F6C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="00143F6C" w:rsidRPr="00143F6C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 в рамках реализации программы «Развитие» систем водоснабжения Вилюйской группы улусов на 2019-2024 годы»</w:t>
      </w:r>
      <w:r w:rsidRPr="001B50E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43F6C" w:rsidRDefault="00143F6C" w:rsidP="0032693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3F6C">
        <w:rPr>
          <w:rFonts w:ascii="Times New Roman" w:hAnsi="Times New Roman" w:cs="Times New Roman"/>
          <w:sz w:val="26"/>
          <w:szCs w:val="26"/>
        </w:rPr>
        <w:t xml:space="preserve">2. Внести на рассмотрение Высшего совета НО «ЦФБП РС (Я)» вопрос об одобрении заключения с ООО </w:t>
      </w:r>
      <w:r>
        <w:rPr>
          <w:rFonts w:ascii="Times New Roman" w:hAnsi="Times New Roman" w:cs="Times New Roman"/>
          <w:sz w:val="26"/>
          <w:szCs w:val="26"/>
        </w:rPr>
        <w:t>«Гидросфера»</w:t>
      </w:r>
      <w:r w:rsidRPr="00143F6C">
        <w:rPr>
          <w:rFonts w:ascii="Times New Roman" w:hAnsi="Times New Roman" w:cs="Times New Roman"/>
          <w:sz w:val="26"/>
          <w:szCs w:val="26"/>
        </w:rPr>
        <w:t xml:space="preserve"> Агентского договора для обеспечения выполнения комплекса работ по Геологич</w:t>
      </w:r>
      <w:r w:rsidR="00F17C39">
        <w:rPr>
          <w:rFonts w:ascii="Times New Roman" w:hAnsi="Times New Roman" w:cs="Times New Roman"/>
          <w:sz w:val="26"/>
          <w:szCs w:val="26"/>
        </w:rPr>
        <w:t>ескому изучению (поиски, оценка</w:t>
      </w:r>
      <w:r w:rsidRPr="00143F6C">
        <w:rPr>
          <w:rFonts w:ascii="Times New Roman" w:hAnsi="Times New Roman" w:cs="Times New Roman"/>
          <w:sz w:val="26"/>
          <w:szCs w:val="26"/>
        </w:rPr>
        <w:t>) запасов подземных вод на участках недр «Кутана», «Эльгяй», «</w:t>
      </w:r>
      <w:proofErr w:type="spellStart"/>
      <w:r w:rsidRPr="00143F6C">
        <w:rPr>
          <w:rFonts w:ascii="Times New Roman" w:hAnsi="Times New Roman" w:cs="Times New Roman"/>
          <w:sz w:val="26"/>
          <w:szCs w:val="26"/>
        </w:rPr>
        <w:t>Кюндяе</w:t>
      </w:r>
      <w:proofErr w:type="spellEnd"/>
      <w:r w:rsidRPr="00143F6C">
        <w:rPr>
          <w:rFonts w:ascii="Times New Roman" w:hAnsi="Times New Roman" w:cs="Times New Roman"/>
          <w:sz w:val="26"/>
          <w:szCs w:val="26"/>
        </w:rPr>
        <w:t>», «Шея», «</w:t>
      </w:r>
      <w:proofErr w:type="spellStart"/>
      <w:r w:rsidRPr="00143F6C">
        <w:rPr>
          <w:rFonts w:ascii="Times New Roman" w:hAnsi="Times New Roman" w:cs="Times New Roman"/>
          <w:sz w:val="26"/>
          <w:szCs w:val="26"/>
        </w:rPr>
        <w:t>Туойдах</w:t>
      </w:r>
      <w:proofErr w:type="spellEnd"/>
      <w:r w:rsidRPr="00143F6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143F6C">
        <w:rPr>
          <w:rFonts w:ascii="Times New Roman" w:hAnsi="Times New Roman" w:cs="Times New Roman"/>
          <w:sz w:val="26"/>
          <w:szCs w:val="26"/>
        </w:rPr>
        <w:t>Кюкей</w:t>
      </w:r>
      <w:proofErr w:type="spellEnd"/>
      <w:r w:rsidRPr="00143F6C">
        <w:rPr>
          <w:rFonts w:ascii="Times New Roman" w:hAnsi="Times New Roman" w:cs="Times New Roman"/>
          <w:sz w:val="26"/>
          <w:szCs w:val="26"/>
        </w:rPr>
        <w:t xml:space="preserve">» на территории </w:t>
      </w:r>
      <w:proofErr w:type="spellStart"/>
      <w:r w:rsidRPr="00143F6C">
        <w:rPr>
          <w:rFonts w:ascii="Times New Roman" w:hAnsi="Times New Roman" w:cs="Times New Roman"/>
          <w:sz w:val="26"/>
          <w:szCs w:val="26"/>
        </w:rPr>
        <w:t>Сунтарского</w:t>
      </w:r>
      <w:proofErr w:type="spellEnd"/>
      <w:r w:rsidRPr="00143F6C">
        <w:rPr>
          <w:rFonts w:ascii="Times New Roman" w:hAnsi="Times New Roman" w:cs="Times New Roman"/>
          <w:sz w:val="26"/>
          <w:szCs w:val="26"/>
        </w:rPr>
        <w:t xml:space="preserve"> района Республики Саха (Якутия)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3F6C">
        <w:rPr>
          <w:rFonts w:ascii="Times New Roman" w:hAnsi="Times New Roman" w:cs="Times New Roman"/>
          <w:sz w:val="26"/>
          <w:szCs w:val="26"/>
        </w:rPr>
        <w:t xml:space="preserve">на условиях, предложенных ООО </w:t>
      </w:r>
      <w:r>
        <w:rPr>
          <w:rFonts w:ascii="Times New Roman" w:hAnsi="Times New Roman" w:cs="Times New Roman"/>
          <w:sz w:val="26"/>
          <w:szCs w:val="26"/>
        </w:rPr>
        <w:t>«Гидросфера»</w:t>
      </w:r>
      <w:r w:rsidRPr="00143F6C">
        <w:rPr>
          <w:rFonts w:ascii="Times New Roman" w:hAnsi="Times New Roman" w:cs="Times New Roman"/>
          <w:sz w:val="26"/>
          <w:szCs w:val="26"/>
        </w:rPr>
        <w:t>.</w:t>
      </w:r>
    </w:p>
    <w:p w:rsidR="0032693D" w:rsidRPr="0030076F" w:rsidRDefault="0032693D" w:rsidP="0030076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01596">
        <w:rPr>
          <w:rFonts w:ascii="Times New Roman" w:hAnsi="Times New Roman" w:cs="Times New Roman"/>
          <w:sz w:val="26"/>
          <w:szCs w:val="26"/>
        </w:rPr>
        <w:t xml:space="preserve"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</w:t>
      </w:r>
      <w:hyperlink r:id="rId8" w:history="1"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http://www.f</w:t>
        </w:r>
        <w:proofErr w:type="spellStart"/>
        <w:r w:rsidRPr="00601596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ond</w:t>
        </w:r>
        <w:proofErr w:type="spellEnd"/>
        <w:r w:rsidRPr="00601596">
          <w:rPr>
            <w:rStyle w:val="aa"/>
            <w:rFonts w:ascii="Times New Roman" w:hAnsi="Times New Roman" w:cs="Times New Roman"/>
            <w:sz w:val="26"/>
            <w:szCs w:val="26"/>
          </w:rPr>
          <w:t>yakutia.ru</w:t>
        </w:r>
      </w:hyperlink>
      <w:r w:rsidRPr="00601596">
        <w:rPr>
          <w:rFonts w:ascii="Times New Roman" w:hAnsi="Times New Roman" w:cs="Times New Roman"/>
          <w:sz w:val="26"/>
          <w:szCs w:val="26"/>
        </w:rPr>
        <w:t>.</w:t>
      </w:r>
    </w:p>
    <w:p w:rsidR="0032693D" w:rsidRPr="00235931" w:rsidRDefault="0032693D" w:rsidP="0032693D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32693D" w:rsidRDefault="0032693D" w:rsidP="0032693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693D" w:rsidRDefault="0032693D" w:rsidP="0032693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</w:t>
      </w:r>
    </w:p>
    <w:p w:rsidR="00143F6C" w:rsidRDefault="00143F6C" w:rsidP="0032693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Оленева Н.И.___________________</w:t>
      </w:r>
    </w:p>
    <w:p w:rsidR="0032693D" w:rsidRDefault="0032693D" w:rsidP="0032693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_________________</w:t>
      </w:r>
    </w:p>
    <w:p w:rsidR="0032693D" w:rsidRDefault="0032693D" w:rsidP="0032693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Григорьев П.А.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</w:t>
      </w:r>
    </w:p>
    <w:p w:rsidR="00143F6C" w:rsidRPr="001B32B5" w:rsidRDefault="00143F6C" w:rsidP="0032693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Чан В.К. _______________________</w:t>
      </w:r>
    </w:p>
    <w:p w:rsidR="00297F8A" w:rsidRPr="00F17C39" w:rsidRDefault="0032693D" w:rsidP="00F17C39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17C39">
        <w:rPr>
          <w:rFonts w:ascii="Times New Roman" w:eastAsia="Times New Roman" w:hAnsi="Times New Roman" w:cs="Times New Roman"/>
          <w:color w:val="000000"/>
          <w:sz w:val="26"/>
          <w:szCs w:val="26"/>
        </w:rPr>
        <w:t>Секр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етарь</w:t>
      </w:r>
      <w:r w:rsidRPr="001B32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      </w:t>
      </w:r>
      <w:r w:rsidR="00143F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В.В. Высоцкая</w:t>
      </w:r>
    </w:p>
    <w:sectPr w:rsidR="00297F8A" w:rsidRPr="00F17C39" w:rsidSect="00F17C39">
      <w:footerReference w:type="default" r:id="rId9"/>
      <w:headerReference w:type="first" r:id="rId10"/>
      <w:type w:val="continuous"/>
      <w:pgSz w:w="11906" w:h="16838"/>
      <w:pgMar w:top="1134" w:right="849" w:bottom="709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AF" w:rsidRDefault="002042AF" w:rsidP="00A46BF6">
      <w:pPr>
        <w:spacing w:after="0" w:line="240" w:lineRule="auto"/>
      </w:pPr>
      <w:r>
        <w:separator/>
      </w:r>
    </w:p>
  </w:endnote>
  <w:endnote w:type="continuationSeparator" w:id="0">
    <w:p w:rsidR="002042AF" w:rsidRDefault="002042AF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463079"/>
      <w:docPartObj>
        <w:docPartGallery w:val="Page Numbers (Bottom of Page)"/>
        <w:docPartUnique/>
      </w:docPartObj>
    </w:sdtPr>
    <w:sdtEndPr/>
    <w:sdtContent>
      <w:p w:rsidR="008E331A" w:rsidRDefault="008E33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5AE">
          <w:rPr>
            <w:noProof/>
          </w:rPr>
          <w:t>2</w:t>
        </w:r>
        <w:r>
          <w:fldChar w:fldCharType="end"/>
        </w:r>
      </w:p>
    </w:sdtContent>
  </w:sdt>
  <w:p w:rsidR="008E331A" w:rsidRDefault="008E3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AF" w:rsidRDefault="002042AF" w:rsidP="00A46BF6">
      <w:pPr>
        <w:spacing w:after="0" w:line="240" w:lineRule="auto"/>
      </w:pPr>
      <w:r>
        <w:separator/>
      </w:r>
    </w:p>
  </w:footnote>
  <w:footnote w:type="continuationSeparator" w:id="0">
    <w:p w:rsidR="002042AF" w:rsidRDefault="002042AF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D72D5A" w:rsidP="00DA6ACF">
    <w:pPr>
      <w:pStyle w:val="a3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6985" t="1397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8277D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BE2FCB" w:rsidRDefault="00BE2FCB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15881" w:rsidRPr="00515881" w:rsidRDefault="00515881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A46BF6" w:rsidRPr="008277D3" w:rsidRDefault="00A46BF6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</w:t>
                    </w:r>
                    <w:r w:rsidR="008277D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BE2FCB" w:rsidRDefault="00BE2FCB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15881" w:rsidRPr="00515881" w:rsidRDefault="00515881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A46BF6" w:rsidRPr="008277D3" w:rsidRDefault="00A46BF6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6BF6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4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65F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CBA27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0394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15"/>
  </w:num>
  <w:num w:numId="7">
    <w:abstractNumId w:val="7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61E3"/>
    <w:rsid w:val="00007A3A"/>
    <w:rsid w:val="000151FE"/>
    <w:rsid w:val="00033505"/>
    <w:rsid w:val="00036B42"/>
    <w:rsid w:val="00040373"/>
    <w:rsid w:val="0006383D"/>
    <w:rsid w:val="00071062"/>
    <w:rsid w:val="00076F30"/>
    <w:rsid w:val="00077D26"/>
    <w:rsid w:val="0008332F"/>
    <w:rsid w:val="000834E9"/>
    <w:rsid w:val="000A22C5"/>
    <w:rsid w:val="000A6EC7"/>
    <w:rsid w:val="000C1852"/>
    <w:rsid w:val="000E08CD"/>
    <w:rsid w:val="000E3534"/>
    <w:rsid w:val="00100004"/>
    <w:rsid w:val="001066C5"/>
    <w:rsid w:val="001124E9"/>
    <w:rsid w:val="00136B2C"/>
    <w:rsid w:val="00143F6C"/>
    <w:rsid w:val="001526EF"/>
    <w:rsid w:val="0015309A"/>
    <w:rsid w:val="0015349D"/>
    <w:rsid w:val="00153F89"/>
    <w:rsid w:val="00163256"/>
    <w:rsid w:val="00173E05"/>
    <w:rsid w:val="00175872"/>
    <w:rsid w:val="00177093"/>
    <w:rsid w:val="0018153D"/>
    <w:rsid w:val="00186C7B"/>
    <w:rsid w:val="0018793F"/>
    <w:rsid w:val="0019055C"/>
    <w:rsid w:val="00192F6C"/>
    <w:rsid w:val="00193A9E"/>
    <w:rsid w:val="00194BAD"/>
    <w:rsid w:val="0019540C"/>
    <w:rsid w:val="001A1AAA"/>
    <w:rsid w:val="001D2D0D"/>
    <w:rsid w:val="001E7694"/>
    <w:rsid w:val="001F5974"/>
    <w:rsid w:val="001F6B96"/>
    <w:rsid w:val="002042AF"/>
    <w:rsid w:val="00211DB1"/>
    <w:rsid w:val="0023058E"/>
    <w:rsid w:val="002334AB"/>
    <w:rsid w:val="00235695"/>
    <w:rsid w:val="00235DD7"/>
    <w:rsid w:val="00246DEF"/>
    <w:rsid w:val="0026264A"/>
    <w:rsid w:val="00266E9F"/>
    <w:rsid w:val="00267F69"/>
    <w:rsid w:val="002757B2"/>
    <w:rsid w:val="00276404"/>
    <w:rsid w:val="00277A86"/>
    <w:rsid w:val="00284634"/>
    <w:rsid w:val="00285637"/>
    <w:rsid w:val="00286BA7"/>
    <w:rsid w:val="00290F57"/>
    <w:rsid w:val="00294C8B"/>
    <w:rsid w:val="00297F8A"/>
    <w:rsid w:val="002A0325"/>
    <w:rsid w:val="002A1751"/>
    <w:rsid w:val="002B0C2E"/>
    <w:rsid w:val="002B2F23"/>
    <w:rsid w:val="002B4274"/>
    <w:rsid w:val="002C0E21"/>
    <w:rsid w:val="002C19A2"/>
    <w:rsid w:val="002D0FB0"/>
    <w:rsid w:val="002D1847"/>
    <w:rsid w:val="002D38B8"/>
    <w:rsid w:val="002D5D26"/>
    <w:rsid w:val="002E1230"/>
    <w:rsid w:val="002E3242"/>
    <w:rsid w:val="002E728C"/>
    <w:rsid w:val="002E747D"/>
    <w:rsid w:val="002F21F4"/>
    <w:rsid w:val="002F6539"/>
    <w:rsid w:val="003000FB"/>
    <w:rsid w:val="0030076F"/>
    <w:rsid w:val="00300DBF"/>
    <w:rsid w:val="0030365E"/>
    <w:rsid w:val="0030501E"/>
    <w:rsid w:val="003113D8"/>
    <w:rsid w:val="00323008"/>
    <w:rsid w:val="0032693D"/>
    <w:rsid w:val="00330B40"/>
    <w:rsid w:val="00345553"/>
    <w:rsid w:val="00347154"/>
    <w:rsid w:val="003514D9"/>
    <w:rsid w:val="00351B50"/>
    <w:rsid w:val="00356CA0"/>
    <w:rsid w:val="00377926"/>
    <w:rsid w:val="00385DF3"/>
    <w:rsid w:val="003958C6"/>
    <w:rsid w:val="003A00AA"/>
    <w:rsid w:val="003A3ED4"/>
    <w:rsid w:val="003B4751"/>
    <w:rsid w:val="003B6273"/>
    <w:rsid w:val="003B6CC8"/>
    <w:rsid w:val="003C36E4"/>
    <w:rsid w:val="003C7917"/>
    <w:rsid w:val="003D2D77"/>
    <w:rsid w:val="00401438"/>
    <w:rsid w:val="0040181A"/>
    <w:rsid w:val="00415AF5"/>
    <w:rsid w:val="00417FFC"/>
    <w:rsid w:val="004272F5"/>
    <w:rsid w:val="00432E81"/>
    <w:rsid w:val="004442D9"/>
    <w:rsid w:val="0045406E"/>
    <w:rsid w:val="00455778"/>
    <w:rsid w:val="00462E50"/>
    <w:rsid w:val="0047514F"/>
    <w:rsid w:val="00475ECD"/>
    <w:rsid w:val="004839C3"/>
    <w:rsid w:val="00484673"/>
    <w:rsid w:val="00487E33"/>
    <w:rsid w:val="00494A8A"/>
    <w:rsid w:val="004B1B66"/>
    <w:rsid w:val="004B5844"/>
    <w:rsid w:val="004D2C11"/>
    <w:rsid w:val="004D37FA"/>
    <w:rsid w:val="004F2F5B"/>
    <w:rsid w:val="00500860"/>
    <w:rsid w:val="005028CC"/>
    <w:rsid w:val="005071FB"/>
    <w:rsid w:val="0051307D"/>
    <w:rsid w:val="00515881"/>
    <w:rsid w:val="00522FB3"/>
    <w:rsid w:val="0052571B"/>
    <w:rsid w:val="005325AE"/>
    <w:rsid w:val="0053432C"/>
    <w:rsid w:val="00543709"/>
    <w:rsid w:val="005525A1"/>
    <w:rsid w:val="00557DFA"/>
    <w:rsid w:val="0056001B"/>
    <w:rsid w:val="00561354"/>
    <w:rsid w:val="00562681"/>
    <w:rsid w:val="0056584A"/>
    <w:rsid w:val="00570B06"/>
    <w:rsid w:val="0057155E"/>
    <w:rsid w:val="005827D3"/>
    <w:rsid w:val="00585F27"/>
    <w:rsid w:val="005872AD"/>
    <w:rsid w:val="00591654"/>
    <w:rsid w:val="00597C2B"/>
    <w:rsid w:val="005A458A"/>
    <w:rsid w:val="005A685D"/>
    <w:rsid w:val="005B713D"/>
    <w:rsid w:val="005C74A2"/>
    <w:rsid w:val="005E5DEE"/>
    <w:rsid w:val="005E667F"/>
    <w:rsid w:val="005E6C71"/>
    <w:rsid w:val="005E79A2"/>
    <w:rsid w:val="005F14F8"/>
    <w:rsid w:val="00601205"/>
    <w:rsid w:val="00612223"/>
    <w:rsid w:val="00626511"/>
    <w:rsid w:val="0062715A"/>
    <w:rsid w:val="00631C41"/>
    <w:rsid w:val="00636D25"/>
    <w:rsid w:val="0064490C"/>
    <w:rsid w:val="00646C93"/>
    <w:rsid w:val="006474F4"/>
    <w:rsid w:val="00656EEA"/>
    <w:rsid w:val="00657435"/>
    <w:rsid w:val="006622BD"/>
    <w:rsid w:val="00675E45"/>
    <w:rsid w:val="00685ED9"/>
    <w:rsid w:val="00686FDB"/>
    <w:rsid w:val="006A2582"/>
    <w:rsid w:val="006A66C2"/>
    <w:rsid w:val="006C0E1E"/>
    <w:rsid w:val="006D59F4"/>
    <w:rsid w:val="006D6A4C"/>
    <w:rsid w:val="006E6B5B"/>
    <w:rsid w:val="006F00A5"/>
    <w:rsid w:val="006F32E1"/>
    <w:rsid w:val="006F3E25"/>
    <w:rsid w:val="006F5962"/>
    <w:rsid w:val="007000AC"/>
    <w:rsid w:val="00701858"/>
    <w:rsid w:val="00702A58"/>
    <w:rsid w:val="007038D6"/>
    <w:rsid w:val="0071750D"/>
    <w:rsid w:val="00720F8F"/>
    <w:rsid w:val="0073154C"/>
    <w:rsid w:val="00742851"/>
    <w:rsid w:val="00752F4E"/>
    <w:rsid w:val="00753A8A"/>
    <w:rsid w:val="007546F1"/>
    <w:rsid w:val="00760EC3"/>
    <w:rsid w:val="007756EE"/>
    <w:rsid w:val="00780CC2"/>
    <w:rsid w:val="0078248E"/>
    <w:rsid w:val="00797016"/>
    <w:rsid w:val="007A2764"/>
    <w:rsid w:val="007A7269"/>
    <w:rsid w:val="007C72E1"/>
    <w:rsid w:val="007D0B8B"/>
    <w:rsid w:val="007D58D4"/>
    <w:rsid w:val="007D623E"/>
    <w:rsid w:val="007D667C"/>
    <w:rsid w:val="007F46A0"/>
    <w:rsid w:val="007F7C67"/>
    <w:rsid w:val="00805F64"/>
    <w:rsid w:val="00806627"/>
    <w:rsid w:val="0080720A"/>
    <w:rsid w:val="00811890"/>
    <w:rsid w:val="008263F0"/>
    <w:rsid w:val="008277D3"/>
    <w:rsid w:val="00833FD4"/>
    <w:rsid w:val="0083729F"/>
    <w:rsid w:val="008506D1"/>
    <w:rsid w:val="0085241C"/>
    <w:rsid w:val="00860DED"/>
    <w:rsid w:val="008631D9"/>
    <w:rsid w:val="00875D79"/>
    <w:rsid w:val="00886EA9"/>
    <w:rsid w:val="0089050A"/>
    <w:rsid w:val="008909CB"/>
    <w:rsid w:val="008A4610"/>
    <w:rsid w:val="008B31F5"/>
    <w:rsid w:val="008C0061"/>
    <w:rsid w:val="008C644C"/>
    <w:rsid w:val="008C6BE0"/>
    <w:rsid w:val="008E331A"/>
    <w:rsid w:val="008E7E1D"/>
    <w:rsid w:val="00921F4E"/>
    <w:rsid w:val="009224DE"/>
    <w:rsid w:val="00925BCC"/>
    <w:rsid w:val="00926812"/>
    <w:rsid w:val="00927432"/>
    <w:rsid w:val="009317EB"/>
    <w:rsid w:val="00932536"/>
    <w:rsid w:val="009515D8"/>
    <w:rsid w:val="00961A11"/>
    <w:rsid w:val="00962945"/>
    <w:rsid w:val="00973AFD"/>
    <w:rsid w:val="0098028E"/>
    <w:rsid w:val="009A316B"/>
    <w:rsid w:val="009B2B8D"/>
    <w:rsid w:val="009D1B5B"/>
    <w:rsid w:val="009E7316"/>
    <w:rsid w:val="009F3E4F"/>
    <w:rsid w:val="009F6D3A"/>
    <w:rsid w:val="00A039E7"/>
    <w:rsid w:val="00A12D33"/>
    <w:rsid w:val="00A13C20"/>
    <w:rsid w:val="00A17701"/>
    <w:rsid w:val="00A31DC3"/>
    <w:rsid w:val="00A34AD1"/>
    <w:rsid w:val="00A35203"/>
    <w:rsid w:val="00A46BF6"/>
    <w:rsid w:val="00A472B7"/>
    <w:rsid w:val="00A474F3"/>
    <w:rsid w:val="00A478E3"/>
    <w:rsid w:val="00A616FE"/>
    <w:rsid w:val="00A61E7A"/>
    <w:rsid w:val="00A669DD"/>
    <w:rsid w:val="00A67ADD"/>
    <w:rsid w:val="00A70A05"/>
    <w:rsid w:val="00A777AE"/>
    <w:rsid w:val="00A84C3E"/>
    <w:rsid w:val="00A86C77"/>
    <w:rsid w:val="00A934B8"/>
    <w:rsid w:val="00AA0378"/>
    <w:rsid w:val="00AB067D"/>
    <w:rsid w:val="00AB4ED5"/>
    <w:rsid w:val="00AB65B8"/>
    <w:rsid w:val="00AD0DF4"/>
    <w:rsid w:val="00AF04DE"/>
    <w:rsid w:val="00AF2797"/>
    <w:rsid w:val="00B00E28"/>
    <w:rsid w:val="00B1603E"/>
    <w:rsid w:val="00B24CA3"/>
    <w:rsid w:val="00B24E6A"/>
    <w:rsid w:val="00B250E8"/>
    <w:rsid w:val="00B25F6F"/>
    <w:rsid w:val="00B26AB9"/>
    <w:rsid w:val="00B26DA2"/>
    <w:rsid w:val="00B31164"/>
    <w:rsid w:val="00B40794"/>
    <w:rsid w:val="00B43D41"/>
    <w:rsid w:val="00B5166F"/>
    <w:rsid w:val="00B5533B"/>
    <w:rsid w:val="00B57E94"/>
    <w:rsid w:val="00B601D7"/>
    <w:rsid w:val="00B64B44"/>
    <w:rsid w:val="00B64B58"/>
    <w:rsid w:val="00B66C74"/>
    <w:rsid w:val="00B75072"/>
    <w:rsid w:val="00B9120F"/>
    <w:rsid w:val="00BA21EE"/>
    <w:rsid w:val="00BA21FD"/>
    <w:rsid w:val="00BA3EBB"/>
    <w:rsid w:val="00BB3DA0"/>
    <w:rsid w:val="00BB5E27"/>
    <w:rsid w:val="00BC3F7A"/>
    <w:rsid w:val="00BC660F"/>
    <w:rsid w:val="00BD2610"/>
    <w:rsid w:val="00BD5B36"/>
    <w:rsid w:val="00BD6881"/>
    <w:rsid w:val="00BD76CE"/>
    <w:rsid w:val="00BE2FCB"/>
    <w:rsid w:val="00BE7621"/>
    <w:rsid w:val="00BE76CD"/>
    <w:rsid w:val="00BF0D76"/>
    <w:rsid w:val="00BF5322"/>
    <w:rsid w:val="00BF5CC7"/>
    <w:rsid w:val="00C03419"/>
    <w:rsid w:val="00C074B8"/>
    <w:rsid w:val="00C13B38"/>
    <w:rsid w:val="00C22A02"/>
    <w:rsid w:val="00C47108"/>
    <w:rsid w:val="00C60F49"/>
    <w:rsid w:val="00C616FE"/>
    <w:rsid w:val="00C641CA"/>
    <w:rsid w:val="00C728A8"/>
    <w:rsid w:val="00C84F8D"/>
    <w:rsid w:val="00C940C8"/>
    <w:rsid w:val="00CA2100"/>
    <w:rsid w:val="00CA65D4"/>
    <w:rsid w:val="00CB520A"/>
    <w:rsid w:val="00CC7268"/>
    <w:rsid w:val="00CE2E9B"/>
    <w:rsid w:val="00CF1FD8"/>
    <w:rsid w:val="00D00FBD"/>
    <w:rsid w:val="00D063D5"/>
    <w:rsid w:val="00D065E5"/>
    <w:rsid w:val="00D07680"/>
    <w:rsid w:val="00D10F00"/>
    <w:rsid w:val="00D12D32"/>
    <w:rsid w:val="00D22017"/>
    <w:rsid w:val="00D36004"/>
    <w:rsid w:val="00D37440"/>
    <w:rsid w:val="00D40E03"/>
    <w:rsid w:val="00D45759"/>
    <w:rsid w:val="00D46324"/>
    <w:rsid w:val="00D50EFE"/>
    <w:rsid w:val="00D53803"/>
    <w:rsid w:val="00D54E00"/>
    <w:rsid w:val="00D5603B"/>
    <w:rsid w:val="00D56FD4"/>
    <w:rsid w:val="00D61375"/>
    <w:rsid w:val="00D6590B"/>
    <w:rsid w:val="00D66230"/>
    <w:rsid w:val="00D665B4"/>
    <w:rsid w:val="00D7077E"/>
    <w:rsid w:val="00D72D5A"/>
    <w:rsid w:val="00D74933"/>
    <w:rsid w:val="00D76FDB"/>
    <w:rsid w:val="00D779AC"/>
    <w:rsid w:val="00D82B00"/>
    <w:rsid w:val="00D8339F"/>
    <w:rsid w:val="00D8692E"/>
    <w:rsid w:val="00D923D1"/>
    <w:rsid w:val="00DA2291"/>
    <w:rsid w:val="00DA6ACF"/>
    <w:rsid w:val="00DA749A"/>
    <w:rsid w:val="00DB0006"/>
    <w:rsid w:val="00DB2380"/>
    <w:rsid w:val="00DD5525"/>
    <w:rsid w:val="00E01E71"/>
    <w:rsid w:val="00E161C1"/>
    <w:rsid w:val="00E1639F"/>
    <w:rsid w:val="00E21000"/>
    <w:rsid w:val="00E233E5"/>
    <w:rsid w:val="00E254AA"/>
    <w:rsid w:val="00E2599A"/>
    <w:rsid w:val="00E27596"/>
    <w:rsid w:val="00E30EAB"/>
    <w:rsid w:val="00E32645"/>
    <w:rsid w:val="00E35957"/>
    <w:rsid w:val="00E406B5"/>
    <w:rsid w:val="00E51D39"/>
    <w:rsid w:val="00E53CAD"/>
    <w:rsid w:val="00E6541A"/>
    <w:rsid w:val="00E66097"/>
    <w:rsid w:val="00E761F7"/>
    <w:rsid w:val="00E8508B"/>
    <w:rsid w:val="00E85E22"/>
    <w:rsid w:val="00E915F2"/>
    <w:rsid w:val="00E92153"/>
    <w:rsid w:val="00EA3229"/>
    <w:rsid w:val="00EA6CC8"/>
    <w:rsid w:val="00EA7C21"/>
    <w:rsid w:val="00EB0C37"/>
    <w:rsid w:val="00EB70F2"/>
    <w:rsid w:val="00ED33C0"/>
    <w:rsid w:val="00EE0A54"/>
    <w:rsid w:val="00EE4BBE"/>
    <w:rsid w:val="00EE52F3"/>
    <w:rsid w:val="00EE6BE0"/>
    <w:rsid w:val="00F0365A"/>
    <w:rsid w:val="00F0395D"/>
    <w:rsid w:val="00F13C6F"/>
    <w:rsid w:val="00F16142"/>
    <w:rsid w:val="00F17C39"/>
    <w:rsid w:val="00F23F5D"/>
    <w:rsid w:val="00F24328"/>
    <w:rsid w:val="00F34204"/>
    <w:rsid w:val="00F35B98"/>
    <w:rsid w:val="00F50331"/>
    <w:rsid w:val="00F526B6"/>
    <w:rsid w:val="00F54B98"/>
    <w:rsid w:val="00F5775D"/>
    <w:rsid w:val="00F57D16"/>
    <w:rsid w:val="00F80F47"/>
    <w:rsid w:val="00F826F8"/>
    <w:rsid w:val="00F85B40"/>
    <w:rsid w:val="00F91578"/>
    <w:rsid w:val="00FA3E75"/>
    <w:rsid w:val="00FB6459"/>
    <w:rsid w:val="00FC32B2"/>
    <w:rsid w:val="00FC462C"/>
    <w:rsid w:val="00FC5433"/>
    <w:rsid w:val="00FC61C9"/>
    <w:rsid w:val="00FD1DE0"/>
    <w:rsid w:val="00FD76C3"/>
    <w:rsid w:val="00FE3217"/>
    <w:rsid w:val="00FE3C80"/>
    <w:rsid w:val="00FF51C7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08438-18F4-4470-8FBD-9FE8652F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26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042A-8103-49FB-A72B-23C53535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102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Тупицина А. Анжелика</dc:creator>
  <cp:keywords/>
  <dc:description/>
  <cp:lastModifiedBy>Валерия В. Высоцкая</cp:lastModifiedBy>
  <cp:revision>4</cp:revision>
  <cp:lastPrinted>2019-08-13T07:13:00Z</cp:lastPrinted>
  <dcterms:created xsi:type="dcterms:W3CDTF">2019-08-13T05:43:00Z</dcterms:created>
  <dcterms:modified xsi:type="dcterms:W3CDTF">2019-08-13T08:04:00Z</dcterms:modified>
</cp:coreProperties>
</file>